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9A" w:rsidRPr="00B92AC6" w:rsidRDefault="00564D9A" w:rsidP="00B92AC6">
      <w:pPr>
        <w:pStyle w:val="z-TopofForm"/>
        <w:rPr>
          <w:b/>
        </w:rPr>
      </w:pPr>
      <w:r w:rsidRPr="00B92AC6">
        <w:rPr>
          <w:b/>
        </w:rPr>
        <w:t>Top of Form</w:t>
      </w:r>
    </w:p>
    <w:p w:rsidR="00536381" w:rsidRPr="00B92AC6" w:rsidRDefault="009455E8" w:rsidP="00CC4633">
      <w:pPr>
        <w:jc w:val="center"/>
        <w:rPr>
          <w:b/>
        </w:rPr>
      </w:pPr>
      <w:r w:rsidRPr="00B92AC6">
        <w:rPr>
          <w:b/>
        </w:rPr>
        <w:t>INTERAGENCY AGREEMENT</w:t>
      </w:r>
      <w:r w:rsidR="00564D9A" w:rsidRPr="00B92AC6">
        <w:rPr>
          <w:b/>
        </w:rPr>
        <w:t xml:space="preserve"> </w:t>
      </w:r>
      <w:r w:rsidR="00CC4633">
        <w:rPr>
          <w:b/>
        </w:rPr>
        <w:t>(Fiscal Year)</w:t>
      </w:r>
      <w:r w:rsidR="00564D9A" w:rsidRPr="00B92AC6">
        <w:rPr>
          <w:b/>
        </w:rPr>
        <w:t>-69-xxxx.xxxx</w:t>
      </w:r>
    </w:p>
    <w:p w:rsidR="00536381" w:rsidRPr="00B92AC6" w:rsidRDefault="00536381" w:rsidP="00B92AC6">
      <w:pPr>
        <w:jc w:val="center"/>
        <w:rPr>
          <w:b/>
        </w:rPr>
      </w:pPr>
    </w:p>
    <w:p w:rsidR="00536381" w:rsidRPr="00B92AC6" w:rsidRDefault="000D3AAF" w:rsidP="00B92AC6">
      <w:pPr>
        <w:jc w:val="center"/>
        <w:rPr>
          <w:b/>
        </w:rPr>
      </w:pPr>
      <w:proofErr w:type="gramStart"/>
      <w:r w:rsidRPr="00B92AC6">
        <w:rPr>
          <w:b/>
        </w:rPr>
        <w:t>between</w:t>
      </w:r>
      <w:proofErr w:type="gramEnd"/>
      <w:r w:rsidRPr="00B92AC6">
        <w:rPr>
          <w:b/>
        </w:rPr>
        <w:t xml:space="preserve"> the LIBRARY OF CONGRESS </w:t>
      </w:r>
      <w:r w:rsidR="00564D9A" w:rsidRPr="00B92AC6">
        <w:rPr>
          <w:b/>
        </w:rPr>
        <w:t>and the</w:t>
      </w:r>
    </w:p>
    <w:p w:rsidR="00536381" w:rsidRPr="00B92AC6" w:rsidRDefault="00536381" w:rsidP="00B92AC6">
      <w:pPr>
        <w:jc w:val="center"/>
        <w:rPr>
          <w:b/>
        </w:rPr>
      </w:pPr>
    </w:p>
    <w:p w:rsidR="00564D9A" w:rsidRPr="00B92AC6" w:rsidRDefault="000D3AAF" w:rsidP="00B92AC6">
      <w:pPr>
        <w:jc w:val="center"/>
        <w:rPr>
          <w:b/>
        </w:rPr>
      </w:pPr>
      <w:r w:rsidRPr="00B92AC6">
        <w:rPr>
          <w:b/>
        </w:rPr>
        <w:t>MEMBER</w:t>
      </w:r>
      <w:r w:rsidR="009455E8" w:rsidRPr="00B92AC6">
        <w:rPr>
          <w:b/>
        </w:rPr>
        <w:t>:  [</w:t>
      </w:r>
      <w:r w:rsidR="00E0066B" w:rsidRPr="00B92AC6">
        <w:rPr>
          <w:b/>
        </w:rPr>
        <w:t>Member Agency Name</w:t>
      </w:r>
      <w:r w:rsidR="009455E8" w:rsidRPr="00B92AC6">
        <w:rPr>
          <w:b/>
        </w:rPr>
        <w:t>]</w:t>
      </w:r>
    </w:p>
    <w:p w:rsidR="00A90580" w:rsidRPr="00B92AC6" w:rsidRDefault="00A90580" w:rsidP="00B92AC6">
      <w:pPr>
        <w:pBdr>
          <w:bottom w:val="single" w:sz="4" w:space="1" w:color="auto"/>
        </w:pBdr>
        <w:jc w:val="center"/>
        <w:rPr>
          <w:b/>
        </w:rPr>
      </w:pPr>
    </w:p>
    <w:p w:rsidR="00B92AC6" w:rsidRDefault="00B92AC6" w:rsidP="00B92AC6">
      <w:pPr>
        <w:jc w:val="center"/>
        <w:rPr>
          <w:b/>
        </w:rPr>
      </w:pPr>
    </w:p>
    <w:p w:rsidR="00E80496" w:rsidRPr="00B92AC6" w:rsidRDefault="00E80496" w:rsidP="00B92AC6">
      <w:pPr>
        <w:jc w:val="center"/>
        <w:rPr>
          <w:b/>
        </w:rPr>
      </w:pPr>
      <w:r w:rsidRPr="00B92AC6">
        <w:rPr>
          <w:b/>
        </w:rPr>
        <w:t>GENERAL TERMS AND CONDITIONS</w:t>
      </w:r>
    </w:p>
    <w:p w:rsidR="00E0066B" w:rsidRDefault="00E0066B" w:rsidP="00B92AC6">
      <w:pPr>
        <w:pStyle w:val="Heading1"/>
      </w:pPr>
    </w:p>
    <w:p w:rsidR="000D3AAF" w:rsidRPr="001F1047" w:rsidRDefault="00DF399D" w:rsidP="00B92AC6">
      <w:pPr>
        <w:pStyle w:val="Heading1"/>
      </w:pPr>
      <w:r w:rsidRPr="001F1047">
        <w:t>1.</w:t>
      </w:r>
      <w:r w:rsidRPr="001F1047">
        <w:tab/>
      </w:r>
      <w:r w:rsidR="00564D9A" w:rsidRPr="001F1047">
        <w:t>PURPOSE</w:t>
      </w:r>
      <w:r w:rsidR="000D3AAF" w:rsidRPr="001F1047">
        <w:t xml:space="preserve"> </w:t>
      </w:r>
    </w:p>
    <w:p w:rsidR="000D3AAF" w:rsidRDefault="000D3AAF" w:rsidP="00B92AC6"/>
    <w:p w:rsidR="009515FD" w:rsidRPr="00B92AC6" w:rsidRDefault="00564D9A" w:rsidP="00B92AC6">
      <w:r w:rsidRPr="00B92AC6">
        <w:t xml:space="preserve">This Interagency Agreement (IAA) </w:t>
      </w:r>
      <w:r w:rsidR="00A81755" w:rsidRPr="00B92AC6">
        <w:t xml:space="preserve">is </w:t>
      </w:r>
      <w:r w:rsidR="00F32C83" w:rsidRPr="00B92AC6">
        <w:t>a</w:t>
      </w:r>
      <w:r w:rsidR="00A356D3" w:rsidRPr="00B92AC6">
        <w:t xml:space="preserve"> reimbursable </w:t>
      </w:r>
      <w:r w:rsidR="00F32C83" w:rsidRPr="00B92AC6">
        <w:t xml:space="preserve">agreement under which the </w:t>
      </w:r>
      <w:r w:rsidR="00C20A45" w:rsidRPr="00B92AC6">
        <w:t xml:space="preserve">Member requests and the </w:t>
      </w:r>
      <w:r w:rsidR="00F32C83" w:rsidRPr="00B92AC6">
        <w:t xml:space="preserve">Library of Congress </w:t>
      </w:r>
      <w:r w:rsidR="00AE2F68" w:rsidRPr="00B92AC6">
        <w:t>FEDLINK program</w:t>
      </w:r>
      <w:r w:rsidR="00335866" w:rsidRPr="00B92AC6">
        <w:t xml:space="preserve"> </w:t>
      </w:r>
      <w:r w:rsidR="00536381" w:rsidRPr="00B92AC6">
        <w:t xml:space="preserve">provides the following services:  </w:t>
      </w:r>
      <w:r w:rsidR="00A356D3" w:rsidRPr="00B92AC6">
        <w:t>assisted acquisition of c</w:t>
      </w:r>
      <w:r w:rsidRPr="00B92AC6">
        <w:t>ommercial information services, publications</w:t>
      </w:r>
      <w:r w:rsidR="00A81755" w:rsidRPr="00B92AC6">
        <w:t xml:space="preserve"> </w:t>
      </w:r>
      <w:r w:rsidRPr="00B92AC6">
        <w:t xml:space="preserve">in any format, </w:t>
      </w:r>
      <w:r w:rsidR="00F32C83" w:rsidRPr="00B92AC6">
        <w:t xml:space="preserve">and </w:t>
      </w:r>
      <w:r w:rsidRPr="00B92AC6">
        <w:t>library support services</w:t>
      </w:r>
      <w:r w:rsidR="00335866" w:rsidRPr="00B92AC6">
        <w:t xml:space="preserve">; </w:t>
      </w:r>
      <w:r w:rsidRPr="00B92AC6">
        <w:t>related accounting services</w:t>
      </w:r>
      <w:r w:rsidR="00335866" w:rsidRPr="00B92AC6">
        <w:t xml:space="preserve">; and </w:t>
      </w:r>
      <w:r w:rsidRPr="00B92AC6">
        <w:t xml:space="preserve">related education, information and support services. </w:t>
      </w:r>
      <w:r w:rsidR="00853913" w:rsidRPr="00B92AC6">
        <w:t xml:space="preserve">This document </w:t>
      </w:r>
      <w:r w:rsidR="009455E8" w:rsidRPr="00B92AC6">
        <w:t xml:space="preserve">establishes </w:t>
      </w:r>
      <w:r w:rsidR="00F32C83" w:rsidRPr="00B92AC6">
        <w:t>general term</w:t>
      </w:r>
      <w:r w:rsidR="00C20A45" w:rsidRPr="00B92AC6">
        <w:t>s</w:t>
      </w:r>
      <w:r w:rsidR="00F32C83" w:rsidRPr="00B92AC6">
        <w:t xml:space="preserve"> and conditions </w:t>
      </w:r>
      <w:r w:rsidR="009455E8" w:rsidRPr="00B92AC6">
        <w:t xml:space="preserve">for the </w:t>
      </w:r>
      <w:r w:rsidR="00853913" w:rsidRPr="00B92AC6">
        <w:t xml:space="preserve">IAA.  </w:t>
      </w:r>
      <w:r w:rsidR="009455E8" w:rsidRPr="00B92AC6">
        <w:t xml:space="preserve">This IAA is a multiple order IAA.  </w:t>
      </w:r>
    </w:p>
    <w:p w:rsidR="00F32C83" w:rsidRDefault="00F32C83" w:rsidP="00B92AC6"/>
    <w:p w:rsidR="00E0066B" w:rsidRPr="001F1047" w:rsidRDefault="00E0066B" w:rsidP="00B92AC6">
      <w:pPr>
        <w:pStyle w:val="Heading1"/>
      </w:pPr>
      <w:r>
        <w:t>2</w:t>
      </w:r>
      <w:r w:rsidRPr="001F1047">
        <w:t>.</w:t>
      </w:r>
      <w:r w:rsidRPr="001F1047">
        <w:tab/>
        <w:t>ANNUAL ORDERS</w:t>
      </w:r>
    </w:p>
    <w:p w:rsidR="00E0066B" w:rsidRDefault="00E0066B" w:rsidP="00B92AC6"/>
    <w:p w:rsidR="00E0066B" w:rsidRPr="00335866" w:rsidRDefault="00E0066B" w:rsidP="00B92AC6">
      <w:proofErr w:type="gramStart"/>
      <w:r>
        <w:t xml:space="preserve">This IAA will be supplemented by Annual Orders that </w:t>
      </w:r>
      <w:r w:rsidRPr="00335866">
        <w:t xml:space="preserve">state </w:t>
      </w:r>
      <w:r>
        <w:t xml:space="preserve">the Member’s service </w:t>
      </w:r>
      <w:r w:rsidRPr="00335866">
        <w:t>requirements</w:t>
      </w:r>
      <w:r w:rsidR="00DC2199">
        <w:t>, obligate funding, and provide accounting information</w:t>
      </w:r>
      <w:proofErr w:type="gramEnd"/>
      <w:r w:rsidR="00DC2199">
        <w:t xml:space="preserve">.  </w:t>
      </w:r>
      <w:r w:rsidRPr="00335866">
        <w:t xml:space="preserve">Each Annual Order will include a Service Schedule </w:t>
      </w:r>
      <w:r>
        <w:t xml:space="preserve">that records </w:t>
      </w:r>
      <w:r w:rsidRPr="00335866">
        <w:t xml:space="preserve">the allocation of Member funds for </w:t>
      </w:r>
      <w:r>
        <w:t xml:space="preserve">one or more </w:t>
      </w:r>
      <w:r w:rsidRPr="00335866">
        <w:t>FEDLINK services</w:t>
      </w:r>
      <w:r>
        <w:t xml:space="preserve"> requested by the Member</w:t>
      </w:r>
      <w:r w:rsidRPr="00335866">
        <w:t>.</w:t>
      </w:r>
      <w:r>
        <w:t xml:space="preserve">  </w:t>
      </w:r>
    </w:p>
    <w:p w:rsidR="00E0066B" w:rsidRDefault="00E0066B" w:rsidP="00B92AC6"/>
    <w:p w:rsidR="004C4830" w:rsidRPr="00B92AC6" w:rsidRDefault="004C4830" w:rsidP="00B92AC6">
      <w:pPr>
        <w:rPr>
          <w:b/>
        </w:rPr>
      </w:pPr>
      <w:r w:rsidRPr="00B92AC6">
        <w:rPr>
          <w:b/>
        </w:rPr>
        <w:t>3.</w:t>
      </w:r>
      <w:r w:rsidRPr="00B92AC6">
        <w:rPr>
          <w:b/>
        </w:rPr>
        <w:tab/>
        <w:t>AUTHORITY</w:t>
      </w:r>
    </w:p>
    <w:p w:rsidR="004C4830" w:rsidRDefault="004C4830" w:rsidP="00B92AC6"/>
    <w:p w:rsidR="004C4830" w:rsidRDefault="004C4830" w:rsidP="00B92AC6">
      <w:proofErr w:type="gramStart"/>
      <w:r>
        <w:t xml:space="preserve">Transactions under this IAA are authorized by </w:t>
      </w:r>
      <w:r w:rsidR="00EC7438">
        <w:t xml:space="preserve">the </w:t>
      </w:r>
      <w:r>
        <w:t>FEDLINK revolving fund statute, 2 U.S.C. 182c</w:t>
      </w:r>
      <w:proofErr w:type="gramEnd"/>
      <w:r>
        <w:t>.  The Economy Act does not apply to th</w:t>
      </w:r>
      <w:r w:rsidR="00FE2AF9">
        <w:t>is</w:t>
      </w:r>
      <w:r>
        <w:t xml:space="preserve"> IAA or </w:t>
      </w:r>
      <w:r w:rsidR="00FE2AF9">
        <w:t xml:space="preserve">to </w:t>
      </w:r>
      <w:r>
        <w:t xml:space="preserve">Annual Orders hereunder.  </w:t>
      </w:r>
    </w:p>
    <w:p w:rsidR="004C4830" w:rsidRDefault="004C4830" w:rsidP="00B92AC6"/>
    <w:p w:rsidR="009515FD" w:rsidRDefault="004C4830" w:rsidP="00B92AC6">
      <w:pPr>
        <w:pStyle w:val="Heading1"/>
      </w:pPr>
      <w:r>
        <w:t>4</w:t>
      </w:r>
      <w:r w:rsidR="009515FD">
        <w:t>.</w:t>
      </w:r>
      <w:r w:rsidR="009515FD">
        <w:tab/>
      </w:r>
      <w:r w:rsidR="00564D9A" w:rsidRPr="0094546D">
        <w:t>PERIOD</w:t>
      </w:r>
    </w:p>
    <w:p w:rsidR="00AA369A" w:rsidRDefault="00564D9A" w:rsidP="00B92AC6">
      <w:r w:rsidRPr="0094546D">
        <w:br/>
      </w:r>
      <w:r w:rsidR="009455E8">
        <w:t xml:space="preserve">The </w:t>
      </w:r>
      <w:r w:rsidR="003878E1">
        <w:t xml:space="preserve">IAA is valid </w:t>
      </w:r>
      <w:proofErr w:type="gramStart"/>
      <w:r w:rsidR="003878E1">
        <w:t xml:space="preserve">for </w:t>
      </w:r>
      <w:r w:rsidR="00AA369A">
        <w:t>:</w:t>
      </w:r>
      <w:proofErr w:type="gramEnd"/>
      <w:r w:rsidR="00AA369A">
        <w:t xml:space="preserve">  </w:t>
      </w:r>
      <w:r w:rsidR="00AA369A">
        <w:tab/>
        <w:t xml:space="preserve">____ </w:t>
      </w:r>
      <w:r w:rsidR="00352032">
        <w:tab/>
      </w:r>
      <w:r w:rsidR="003878E1">
        <w:t xml:space="preserve">the five-year period from </w:t>
      </w:r>
      <w:r w:rsidR="00590430" w:rsidRPr="0094546D">
        <w:t xml:space="preserve">October 1, </w:t>
      </w:r>
      <w:r w:rsidR="00C20A45">
        <w:t>2015</w:t>
      </w:r>
      <w:r w:rsidR="00DE3BED">
        <w:rPr>
          <w:smallCaps/>
        </w:rPr>
        <w:t xml:space="preserve"> </w:t>
      </w:r>
      <w:r w:rsidRPr="0094546D">
        <w:t xml:space="preserve">through September 30, </w:t>
      </w:r>
      <w:r w:rsidR="00C20A45">
        <w:t>2020</w:t>
      </w:r>
      <w:r w:rsidR="00B92AC6">
        <w:t xml:space="preserve">, </w:t>
      </w:r>
      <w:r w:rsidR="00B92AC6">
        <w:tab/>
      </w:r>
      <w:r w:rsidR="00B92AC6">
        <w:tab/>
      </w:r>
      <w:r w:rsidR="00B92AC6">
        <w:tab/>
      </w:r>
      <w:r w:rsidR="00B92AC6">
        <w:tab/>
      </w:r>
      <w:r w:rsidR="00B92AC6">
        <w:tab/>
        <w:t xml:space="preserve">     subject to annual review</w:t>
      </w:r>
      <w:r w:rsidR="00BC00EB">
        <w:t>; or,</w:t>
      </w:r>
    </w:p>
    <w:p w:rsidR="00AA369A" w:rsidRDefault="00AA369A" w:rsidP="00B92AC6">
      <w:r>
        <w:tab/>
      </w:r>
      <w:r>
        <w:tab/>
      </w:r>
      <w:r>
        <w:tab/>
        <w:t xml:space="preserve">____ </w:t>
      </w:r>
      <w:r w:rsidR="00352032">
        <w:tab/>
      </w:r>
      <w:proofErr w:type="gramStart"/>
      <w:r>
        <w:t>the</w:t>
      </w:r>
      <w:proofErr w:type="gramEnd"/>
      <w:r>
        <w:t xml:space="preserve"> one-year period from October 1, 2015 through September 30, 2016.</w:t>
      </w:r>
    </w:p>
    <w:p w:rsidR="00AA369A" w:rsidRDefault="00AA369A" w:rsidP="00B92AC6"/>
    <w:p w:rsidR="00AA369A" w:rsidRDefault="00AA369A" w:rsidP="00B92AC6">
      <w:r>
        <w:t xml:space="preserve">In fulfillment of Annual Orders, FEDLINK will provide service on contracts and </w:t>
      </w:r>
      <w:r w:rsidR="00352032">
        <w:t xml:space="preserve">delivery/task </w:t>
      </w:r>
      <w:r>
        <w:t xml:space="preserve">orders issued within this period, provided that the period of performance of any individual </w:t>
      </w:r>
      <w:r w:rsidR="00352032">
        <w:t>contract action</w:t>
      </w:r>
      <w:r>
        <w:t xml:space="preserve"> will not exceed one year beyond the end date of this IAA.  </w:t>
      </w:r>
    </w:p>
    <w:p w:rsidR="00352032" w:rsidRDefault="00352032" w:rsidP="00B92AC6"/>
    <w:p w:rsidR="00D57F19" w:rsidRPr="00C946EA" w:rsidRDefault="004C4830" w:rsidP="00B92AC6">
      <w:pPr>
        <w:rPr>
          <w:b/>
        </w:rPr>
      </w:pPr>
      <w:r w:rsidRPr="00C946EA">
        <w:rPr>
          <w:b/>
        </w:rPr>
        <w:t>5</w:t>
      </w:r>
      <w:r w:rsidR="009515FD" w:rsidRPr="00C946EA">
        <w:rPr>
          <w:b/>
        </w:rPr>
        <w:t>.</w:t>
      </w:r>
      <w:r w:rsidR="009515FD" w:rsidRPr="00C946EA">
        <w:rPr>
          <w:b/>
        </w:rPr>
        <w:tab/>
      </w:r>
      <w:r w:rsidR="00D57F19" w:rsidRPr="00C946EA">
        <w:rPr>
          <w:b/>
        </w:rPr>
        <w:t>PAYMENT</w:t>
      </w:r>
      <w:r w:rsidR="0038185D" w:rsidRPr="00C946EA">
        <w:rPr>
          <w:b/>
        </w:rPr>
        <w:t>S</w:t>
      </w:r>
    </w:p>
    <w:p w:rsidR="009515FD" w:rsidRPr="00DF399D" w:rsidRDefault="009515FD" w:rsidP="00B92AC6"/>
    <w:p w:rsidR="009515FD" w:rsidRDefault="00FE2AF9" w:rsidP="00B92AC6">
      <w:r>
        <w:rPr>
          <w:b/>
        </w:rPr>
        <w:t>5</w:t>
      </w:r>
      <w:r w:rsidR="00D02340" w:rsidRPr="00D02340">
        <w:rPr>
          <w:b/>
        </w:rPr>
        <w:t>.1.</w:t>
      </w:r>
      <w:r w:rsidR="00D02340" w:rsidRPr="00D02340">
        <w:rPr>
          <w:b/>
        </w:rPr>
        <w:tab/>
        <w:t>Advance Payment</w:t>
      </w:r>
      <w:r w:rsidR="00D02340">
        <w:t xml:space="preserve">.  </w:t>
      </w:r>
      <w:r w:rsidR="00D57F19">
        <w:t>T</w:t>
      </w:r>
      <w:r w:rsidR="00D57F19" w:rsidRPr="0094546D">
        <w:t xml:space="preserve">he </w:t>
      </w:r>
      <w:r w:rsidR="0081306C">
        <w:t>M</w:t>
      </w:r>
      <w:r w:rsidR="00D57F19" w:rsidRPr="0094546D">
        <w:t xml:space="preserve">ember </w:t>
      </w:r>
      <w:r w:rsidR="00D57F19">
        <w:t xml:space="preserve">must </w:t>
      </w:r>
      <w:r w:rsidR="0081306C">
        <w:t xml:space="preserve">make advance payment </w:t>
      </w:r>
      <w:r w:rsidR="00D57F19">
        <w:t xml:space="preserve">to the Library </w:t>
      </w:r>
      <w:r w:rsidR="00CD4405">
        <w:t xml:space="preserve">of Congress </w:t>
      </w:r>
      <w:r w:rsidR="00D57F19">
        <w:t xml:space="preserve">for services ordered pursuant to </w:t>
      </w:r>
      <w:r w:rsidR="009455E8">
        <w:t>an</w:t>
      </w:r>
      <w:r w:rsidR="00D57F19">
        <w:t xml:space="preserve"> Annual Order</w:t>
      </w:r>
      <w:r w:rsidR="009455E8">
        <w:t>.  A</w:t>
      </w:r>
      <w:r w:rsidR="00D57F19">
        <w:t xml:space="preserve">dvance payment is required by 2 U.S.C. 182c(c)(2)(A), as the Librarian </w:t>
      </w:r>
      <w:r w:rsidR="00CD4405">
        <w:t xml:space="preserve">of Congress </w:t>
      </w:r>
      <w:r w:rsidR="00D57F19">
        <w:t xml:space="preserve">has </w:t>
      </w:r>
      <w:r w:rsidR="00143116">
        <w:t>determined</w:t>
      </w:r>
      <w:r w:rsidR="009455E8">
        <w:t xml:space="preserve"> </w:t>
      </w:r>
      <w:r w:rsidR="00D57F19">
        <w:t>that advance payment is necessary</w:t>
      </w:r>
      <w:r w:rsidR="00CD4405">
        <w:t xml:space="preserve"> to operate the FEDLINK program</w:t>
      </w:r>
      <w:r w:rsidR="00D57F19">
        <w:t>.</w:t>
      </w:r>
      <w:r w:rsidR="00030C49">
        <w:t xml:space="preserve">  Revenue is recognized when contract actions are executed in fulfillment of Annual Orders.  </w:t>
      </w:r>
    </w:p>
    <w:p w:rsidR="00105FB0" w:rsidRDefault="00105FB0" w:rsidP="00B92AC6"/>
    <w:p w:rsidR="00A67163" w:rsidRDefault="00A67163" w:rsidP="00B92AC6">
      <w:r w:rsidRPr="00A67163">
        <w:rPr>
          <w:b/>
        </w:rPr>
        <w:t>5.2.</w:t>
      </w:r>
      <w:r w:rsidRPr="00A67163">
        <w:rPr>
          <w:b/>
        </w:rPr>
        <w:tab/>
        <w:t>Excess Costs.</w:t>
      </w:r>
      <w:r>
        <w:t xml:space="preserve">  </w:t>
      </w:r>
      <w:r w:rsidRPr="0094546D">
        <w:t xml:space="preserve">If the </w:t>
      </w:r>
      <w:r>
        <w:t>M</w:t>
      </w:r>
      <w:r w:rsidRPr="0094546D">
        <w:t>ember incur</w:t>
      </w:r>
      <w:r>
        <w:t>s</w:t>
      </w:r>
      <w:r w:rsidRPr="0094546D">
        <w:t xml:space="preserve"> costs </w:t>
      </w:r>
      <w:r>
        <w:t>that exceed funds obligated with an Annual Order</w:t>
      </w:r>
      <w:r w:rsidRPr="0094546D">
        <w:t xml:space="preserve">, </w:t>
      </w:r>
      <w:r>
        <w:t xml:space="preserve">or uses services outside of the scope of a FEDLINK contract or order, </w:t>
      </w:r>
      <w:r w:rsidRPr="0094546D">
        <w:t xml:space="preserve">such costs will be the responsibility of the </w:t>
      </w:r>
      <w:r>
        <w:t>M</w:t>
      </w:r>
      <w:r w:rsidRPr="0094546D">
        <w:t>ember.</w:t>
      </w:r>
      <w:r>
        <w:t xml:space="preserve">  </w:t>
      </w:r>
    </w:p>
    <w:p w:rsidR="00A67163" w:rsidRDefault="00A67163" w:rsidP="00B92AC6"/>
    <w:p w:rsidR="00D57F19" w:rsidRDefault="004C4830" w:rsidP="00B92AC6">
      <w:r>
        <w:rPr>
          <w:b/>
        </w:rPr>
        <w:t>5</w:t>
      </w:r>
      <w:r w:rsidR="00D02340" w:rsidRPr="00D02340">
        <w:rPr>
          <w:b/>
        </w:rPr>
        <w:t>.</w:t>
      </w:r>
      <w:r w:rsidR="00A67163">
        <w:rPr>
          <w:b/>
        </w:rPr>
        <w:t>3</w:t>
      </w:r>
      <w:r w:rsidR="00D02340" w:rsidRPr="00D02340">
        <w:rPr>
          <w:b/>
        </w:rPr>
        <w:t>.</w:t>
      </w:r>
      <w:r w:rsidR="00D02340" w:rsidRPr="00D02340">
        <w:rPr>
          <w:b/>
        </w:rPr>
        <w:tab/>
      </w:r>
      <w:r w:rsidR="00361717">
        <w:rPr>
          <w:b/>
        </w:rPr>
        <w:t xml:space="preserve">FEDLINK </w:t>
      </w:r>
      <w:r w:rsidR="00D02340" w:rsidRPr="00D02340">
        <w:rPr>
          <w:b/>
        </w:rPr>
        <w:t>Fees.</w:t>
      </w:r>
      <w:r w:rsidR="00D02340">
        <w:t xml:space="preserve">  </w:t>
      </w:r>
      <w:r w:rsidR="00D57F19" w:rsidRPr="002C62F8">
        <w:t>The fee for transfer pay services</w:t>
      </w:r>
      <w:r w:rsidR="0081306C">
        <w:t xml:space="preserve"> i</w:t>
      </w:r>
      <w:r w:rsidR="00D57F19" w:rsidRPr="002C62F8">
        <w:t xml:space="preserve">s 6.75% on service dollars </w:t>
      </w:r>
      <w:r w:rsidR="000A5E81">
        <w:t xml:space="preserve">up to </w:t>
      </w:r>
      <w:r w:rsidR="00D57F19" w:rsidRPr="002C62F8">
        <w:t>$100,000</w:t>
      </w:r>
      <w:r w:rsidR="000A5E81">
        <w:t xml:space="preserve">; </w:t>
      </w:r>
      <w:r w:rsidR="00D57F19" w:rsidRPr="002C62F8">
        <w:t xml:space="preserve">6.00% on service dollars </w:t>
      </w:r>
      <w:r w:rsidR="000A5E81">
        <w:t xml:space="preserve">from </w:t>
      </w:r>
      <w:r w:rsidR="00D57F19" w:rsidRPr="002C62F8">
        <w:t>$100,00</w:t>
      </w:r>
      <w:r w:rsidR="000A5E81">
        <w:t>1</w:t>
      </w:r>
      <w:r w:rsidR="00D02340">
        <w:t xml:space="preserve"> </w:t>
      </w:r>
      <w:r w:rsidR="000A5E81">
        <w:t xml:space="preserve">to </w:t>
      </w:r>
      <w:r w:rsidR="00D02340">
        <w:t>$1,000,000</w:t>
      </w:r>
      <w:r w:rsidR="00D57F19" w:rsidRPr="002C62F8">
        <w:t xml:space="preserve">; and 4.00% on service dollars </w:t>
      </w:r>
      <w:r w:rsidR="000A5E81">
        <w:t xml:space="preserve">over </w:t>
      </w:r>
      <w:r w:rsidR="00D57F19" w:rsidRPr="002C62F8">
        <w:t>$1,000,000</w:t>
      </w:r>
      <w:r w:rsidR="000A5E81">
        <w:t xml:space="preserve">.  </w:t>
      </w:r>
      <w:r w:rsidR="00D57F19" w:rsidRPr="002C62F8">
        <w:t xml:space="preserve">The fee for direct pay services (for </w:t>
      </w:r>
      <w:r w:rsidR="00D02340">
        <w:t xml:space="preserve">book and </w:t>
      </w:r>
      <w:r w:rsidR="00D57F19" w:rsidRPr="002C62F8">
        <w:t>serial</w:t>
      </w:r>
      <w:r w:rsidR="00D02340">
        <w:t>s</w:t>
      </w:r>
      <w:r w:rsidR="00D57F19" w:rsidRPr="002C62F8">
        <w:t xml:space="preserve"> services only) is $1,200 per service account plus 0.6 % of service dollars over $100,000 in each service account.</w:t>
      </w:r>
      <w:r w:rsidR="001E7F48">
        <w:t xml:space="preserve"> </w:t>
      </w:r>
    </w:p>
    <w:p w:rsidR="001E7F48" w:rsidRDefault="001E7F48" w:rsidP="00B92AC6"/>
    <w:p w:rsidR="00D57F19" w:rsidRDefault="004C4830" w:rsidP="00B92AC6">
      <w:r>
        <w:rPr>
          <w:b/>
        </w:rPr>
        <w:t>5</w:t>
      </w:r>
      <w:r w:rsidR="00D02340">
        <w:rPr>
          <w:b/>
        </w:rPr>
        <w:t>.</w:t>
      </w:r>
      <w:r w:rsidR="00A67163">
        <w:rPr>
          <w:b/>
        </w:rPr>
        <w:t>4</w:t>
      </w:r>
      <w:r w:rsidR="00D02340">
        <w:rPr>
          <w:b/>
        </w:rPr>
        <w:t>.</w:t>
      </w:r>
      <w:r w:rsidR="00D02340">
        <w:rPr>
          <w:b/>
        </w:rPr>
        <w:tab/>
      </w:r>
      <w:r w:rsidR="00FE2AF9">
        <w:rPr>
          <w:b/>
        </w:rPr>
        <w:t xml:space="preserve">Payment </w:t>
      </w:r>
      <w:r w:rsidR="00D02340">
        <w:rPr>
          <w:b/>
        </w:rPr>
        <w:t>Due Dates</w:t>
      </w:r>
      <w:r w:rsidR="00D02340">
        <w:t xml:space="preserve">.  </w:t>
      </w:r>
      <w:r w:rsidR="00E74634">
        <w:t>S</w:t>
      </w:r>
      <w:r w:rsidR="00D57F19" w:rsidRPr="0094546D">
        <w:t xml:space="preserve">igned </w:t>
      </w:r>
      <w:r w:rsidR="00D57F19">
        <w:t>Annual Order</w:t>
      </w:r>
      <w:r w:rsidR="00E74634">
        <w:t>s</w:t>
      </w:r>
      <w:r w:rsidR="00D57F19" w:rsidRPr="0094546D">
        <w:t xml:space="preserve"> serve as invoice</w:t>
      </w:r>
      <w:r w:rsidR="00E74634">
        <w:t>s</w:t>
      </w:r>
      <w:r w:rsidR="00D57F19" w:rsidRPr="0094546D">
        <w:t xml:space="preserve"> </w:t>
      </w:r>
      <w:r w:rsidR="006F04CC">
        <w:t>f</w:t>
      </w:r>
      <w:r w:rsidR="00D57F19" w:rsidRPr="0094546D">
        <w:t>or amounts due</w:t>
      </w:r>
      <w:r w:rsidR="006F04CC">
        <w:t xml:space="preserve"> to the Library</w:t>
      </w:r>
      <w:r w:rsidR="00D57F19" w:rsidRPr="0094546D">
        <w:t xml:space="preserve">. </w:t>
      </w:r>
      <w:r w:rsidR="001E7F48">
        <w:t xml:space="preserve"> </w:t>
      </w:r>
      <w:r w:rsidR="00D57F19" w:rsidRPr="0094546D">
        <w:t xml:space="preserve">For IPAC and Government Purchase Card </w:t>
      </w:r>
      <w:r w:rsidR="000A5E81">
        <w:t>transfers</w:t>
      </w:r>
      <w:r w:rsidR="00D57F19" w:rsidRPr="0094546D">
        <w:t xml:space="preserve">, payment is due upon receipt of the signed </w:t>
      </w:r>
      <w:r w:rsidR="00D57F19">
        <w:t>Annual Order</w:t>
      </w:r>
      <w:r w:rsidR="00D57F19" w:rsidRPr="0094546D">
        <w:t xml:space="preserve">. </w:t>
      </w:r>
      <w:r w:rsidR="001E7F48">
        <w:t xml:space="preserve"> </w:t>
      </w:r>
      <w:r w:rsidR="00D57F19" w:rsidRPr="0094546D">
        <w:t xml:space="preserve">For all other transfers, payment is due within 60 days of receipt of the signed </w:t>
      </w:r>
      <w:r w:rsidR="00D57F19">
        <w:t>Annual Order</w:t>
      </w:r>
      <w:r w:rsidR="00D57F19" w:rsidRPr="0094546D">
        <w:t xml:space="preserve">. </w:t>
      </w:r>
      <w:r w:rsidR="006F04CC">
        <w:t xml:space="preserve"> </w:t>
      </w:r>
      <w:r w:rsidR="00D57F19" w:rsidRPr="0094546D">
        <w:t xml:space="preserve">If payment is not timely received, services under </w:t>
      </w:r>
      <w:r w:rsidR="00D57F19">
        <w:t>an</w:t>
      </w:r>
      <w:r w:rsidR="00D57F19" w:rsidRPr="0094546D">
        <w:t xml:space="preserve"> </w:t>
      </w:r>
      <w:r w:rsidR="00D57F19">
        <w:t>Annual Order</w:t>
      </w:r>
      <w:r w:rsidR="00D57F19" w:rsidRPr="0094546D">
        <w:t xml:space="preserve"> will be terminated.</w:t>
      </w:r>
      <w:r w:rsidR="00D57F19" w:rsidRPr="0094546D">
        <w:br/>
      </w:r>
      <w:r w:rsidR="00D57F19" w:rsidRPr="0094546D">
        <w:br/>
      </w:r>
      <w:r>
        <w:rPr>
          <w:b/>
        </w:rPr>
        <w:lastRenderedPageBreak/>
        <w:t>5</w:t>
      </w:r>
      <w:r w:rsidR="000A5E81" w:rsidRPr="000A5E81">
        <w:rPr>
          <w:b/>
        </w:rPr>
        <w:t>.</w:t>
      </w:r>
      <w:r w:rsidR="00A67163">
        <w:rPr>
          <w:b/>
        </w:rPr>
        <w:t>5</w:t>
      </w:r>
      <w:r w:rsidR="000A5E81" w:rsidRPr="000A5E81">
        <w:rPr>
          <w:b/>
        </w:rPr>
        <w:t>.</w:t>
      </w:r>
      <w:r w:rsidR="000A5E81" w:rsidRPr="000A5E81">
        <w:rPr>
          <w:b/>
        </w:rPr>
        <w:tab/>
        <w:t>Adjustments.</w:t>
      </w:r>
      <w:r w:rsidR="000A5E81">
        <w:t xml:space="preserve">  </w:t>
      </w:r>
      <w:r w:rsidR="001B671E">
        <w:t xml:space="preserve">Upon final reconciliation, </w:t>
      </w:r>
      <w:r w:rsidR="00B138BB">
        <w:t xml:space="preserve">FEDLINK will </w:t>
      </w:r>
      <w:r w:rsidR="00F83F87">
        <w:t xml:space="preserve">make adjustments on </w:t>
      </w:r>
      <w:r w:rsidR="00D57F19" w:rsidRPr="0094546D">
        <w:t>the basis of actual costs</w:t>
      </w:r>
      <w:r w:rsidR="00F83F87">
        <w:t xml:space="preserve"> and will issue refunds or invoices to the Member accordingly</w:t>
      </w:r>
      <w:r w:rsidR="00B56614">
        <w:t xml:space="preserve">.  </w:t>
      </w:r>
      <w:r>
        <w:br/>
      </w:r>
    </w:p>
    <w:p w:rsidR="00C20A45" w:rsidRDefault="004C4830" w:rsidP="00B92AC6">
      <w:pPr>
        <w:pStyle w:val="Heading1"/>
      </w:pPr>
      <w:r>
        <w:t>6</w:t>
      </w:r>
      <w:r w:rsidR="00C20A45">
        <w:t>.</w:t>
      </w:r>
      <w:r w:rsidR="00C20A45">
        <w:tab/>
        <w:t>R</w:t>
      </w:r>
      <w:r w:rsidR="00C20A45" w:rsidRPr="0094546D">
        <w:t>E</w:t>
      </w:r>
      <w:r w:rsidR="00C20A45">
        <w:t>SPONSIBILITIES</w:t>
      </w:r>
    </w:p>
    <w:p w:rsidR="00C20A45" w:rsidRDefault="00C20A45" w:rsidP="00B92AC6"/>
    <w:p w:rsidR="00B32981" w:rsidRPr="00E207E1" w:rsidRDefault="004C4830" w:rsidP="00B92AC6">
      <w:r>
        <w:t>6</w:t>
      </w:r>
      <w:r w:rsidR="00C20A45" w:rsidRPr="00E207E1">
        <w:t>.1.</w:t>
      </w:r>
      <w:r w:rsidR="00C20A45" w:rsidRPr="00E207E1">
        <w:tab/>
      </w:r>
      <w:r w:rsidR="00B32981" w:rsidRPr="00E207E1">
        <w:t xml:space="preserve">In fulfillment of </w:t>
      </w:r>
      <w:r w:rsidR="00F26234" w:rsidRPr="00E207E1">
        <w:t xml:space="preserve">an </w:t>
      </w:r>
      <w:r w:rsidR="00B32981" w:rsidRPr="00E207E1">
        <w:t xml:space="preserve">Annual Order, </w:t>
      </w:r>
      <w:r w:rsidR="001E7F48" w:rsidRPr="00E207E1">
        <w:t xml:space="preserve">FEDLINK will:  </w:t>
      </w:r>
    </w:p>
    <w:p w:rsidR="00B32981" w:rsidRDefault="00B32981" w:rsidP="00B92AC6"/>
    <w:p w:rsidR="00B32981" w:rsidRDefault="00B32981" w:rsidP="006E14F4">
      <w:pPr>
        <w:ind w:left="1440" w:hanging="720"/>
      </w:pPr>
      <w:r>
        <w:t>a.</w:t>
      </w:r>
      <w:r>
        <w:tab/>
      </w:r>
      <w:r w:rsidR="00580747">
        <w:t xml:space="preserve">Establish contracts in accordance with the </w:t>
      </w:r>
      <w:r w:rsidR="001E7F48">
        <w:t>Federal Acquisition Regulation (</w:t>
      </w:r>
      <w:r w:rsidR="00C20A45" w:rsidRPr="00C20A45">
        <w:t>FAR</w:t>
      </w:r>
      <w:r w:rsidR="001E7F48">
        <w:t>)</w:t>
      </w:r>
      <w:r w:rsidR="00D71566">
        <w:t xml:space="preserve"> (</w:t>
      </w:r>
      <w:r>
        <w:t>despite the Library of Congress’ status as a legislative branch agency</w:t>
      </w:r>
      <w:r w:rsidR="00D71566">
        <w:t>)</w:t>
      </w:r>
      <w:r w:rsidR="009315B9">
        <w:t xml:space="preserve">; </w:t>
      </w:r>
      <w:r w:rsidR="00D71566">
        <w:t>c</w:t>
      </w:r>
      <w:r>
        <w:t xml:space="preserve">omply </w:t>
      </w:r>
      <w:r w:rsidR="00D60F1B">
        <w:t>with</w:t>
      </w:r>
      <w:r>
        <w:t xml:space="preserve"> </w:t>
      </w:r>
      <w:r w:rsidR="00D71566">
        <w:t>D</w:t>
      </w:r>
      <w:r>
        <w:t xml:space="preserve">efense procurement requirements for </w:t>
      </w:r>
      <w:r w:rsidR="00D60F1B">
        <w:t>contract actions</w:t>
      </w:r>
      <w:r w:rsidR="00C20A45" w:rsidRPr="00C20A45">
        <w:t xml:space="preserve"> </w:t>
      </w:r>
      <w:r>
        <w:t xml:space="preserve">for </w:t>
      </w:r>
      <w:r w:rsidR="00C20A45" w:rsidRPr="00C20A45">
        <w:t xml:space="preserve">Department of Defense </w:t>
      </w:r>
      <w:r>
        <w:t>M</w:t>
      </w:r>
      <w:r w:rsidR="00C20A45" w:rsidRPr="00C20A45">
        <w:t>embers</w:t>
      </w:r>
      <w:r w:rsidR="009315B9">
        <w:t>; and, a</w:t>
      </w:r>
      <w:r w:rsidR="00105FB0" w:rsidRPr="00C20A45">
        <w:t xml:space="preserve">llocate socio-economic credit </w:t>
      </w:r>
      <w:r w:rsidR="00105FB0">
        <w:t>to the Member</w:t>
      </w:r>
      <w:r w:rsidR="009315B9">
        <w:t xml:space="preserve">.  </w:t>
      </w:r>
      <w:r w:rsidR="00AE4C27">
        <w:t xml:space="preserve"> </w:t>
      </w:r>
    </w:p>
    <w:p w:rsidR="00B32981" w:rsidRDefault="00B32981" w:rsidP="006E14F4">
      <w:pPr>
        <w:ind w:left="1440" w:hanging="720"/>
      </w:pPr>
    </w:p>
    <w:p w:rsidR="001E7F48" w:rsidRDefault="009315B9" w:rsidP="006E14F4">
      <w:pPr>
        <w:ind w:left="1440" w:hanging="720"/>
      </w:pPr>
      <w:r>
        <w:t>b</w:t>
      </w:r>
      <w:r w:rsidR="00B32981">
        <w:t>.</w:t>
      </w:r>
      <w:r w:rsidR="00B32981">
        <w:tab/>
      </w:r>
      <w:r w:rsidR="003D1A03">
        <w:t>For transfer pay services, process and pay invoices for Member orders</w:t>
      </w:r>
      <w:r>
        <w:t>;</w:t>
      </w:r>
      <w:r w:rsidR="003D1A03">
        <w:t xml:space="preserve"> s</w:t>
      </w:r>
      <w:r w:rsidR="00B32981">
        <w:t xml:space="preserve">upply </w:t>
      </w:r>
      <w:r w:rsidR="001E7F48" w:rsidRPr="00C20A45">
        <w:t xml:space="preserve">the </w:t>
      </w:r>
      <w:r w:rsidR="00B32981">
        <w:t>M</w:t>
      </w:r>
      <w:r w:rsidR="001E7F48" w:rsidRPr="00C20A45">
        <w:t>ember with monthly statements of account</w:t>
      </w:r>
      <w:r>
        <w:t>;</w:t>
      </w:r>
      <w:r w:rsidR="00C94B13">
        <w:t xml:space="preserve"> reconcile accounts</w:t>
      </w:r>
      <w:r>
        <w:t>;</w:t>
      </w:r>
      <w:r w:rsidR="00052EDF">
        <w:t xml:space="preserve"> and</w:t>
      </w:r>
      <w:r>
        <w:t>,</w:t>
      </w:r>
      <w:r w:rsidR="00052EDF">
        <w:t xml:space="preserve"> process necessary adjustments</w:t>
      </w:r>
      <w:r w:rsidR="001E7F48" w:rsidRPr="00C20A45">
        <w:t xml:space="preserve">. </w:t>
      </w:r>
      <w:r w:rsidR="00960DB3">
        <w:t xml:space="preserve"> </w:t>
      </w:r>
    </w:p>
    <w:p w:rsidR="00960DB3" w:rsidRDefault="00960DB3" w:rsidP="006E14F4">
      <w:pPr>
        <w:ind w:left="1440" w:hanging="720"/>
      </w:pPr>
    </w:p>
    <w:p w:rsidR="00960DB3" w:rsidRDefault="00960DB3" w:rsidP="006E14F4">
      <w:pPr>
        <w:ind w:left="1440" w:hanging="720"/>
      </w:pPr>
      <w:r>
        <w:t>c.</w:t>
      </w:r>
      <w:r>
        <w:tab/>
        <w:t>For transfer pay services of a continuing nature, such as subscriptions to online databases</w:t>
      </w:r>
      <w:r w:rsidR="0064134F">
        <w:t xml:space="preserve"> and other publications</w:t>
      </w:r>
      <w:r>
        <w:t xml:space="preserve">, establish contract options to provide for continuity of service </w:t>
      </w:r>
      <w:r w:rsidR="0079396E">
        <w:t xml:space="preserve">between Annual Orders </w:t>
      </w:r>
      <w:r>
        <w:t xml:space="preserve">under this IAA.    </w:t>
      </w:r>
    </w:p>
    <w:p w:rsidR="00C20A45" w:rsidRPr="00C20A45" w:rsidRDefault="00C20A45" w:rsidP="00B92AC6"/>
    <w:p w:rsidR="00C20A45" w:rsidRPr="00E207E1" w:rsidRDefault="004C4830" w:rsidP="00B92AC6">
      <w:r>
        <w:t>6</w:t>
      </w:r>
      <w:r w:rsidR="00C20A45" w:rsidRPr="00E207E1">
        <w:t>.2.</w:t>
      </w:r>
      <w:r w:rsidR="00C20A45" w:rsidRPr="00E207E1">
        <w:tab/>
        <w:t xml:space="preserve">The </w:t>
      </w:r>
      <w:r w:rsidR="00B32981" w:rsidRPr="00E207E1">
        <w:t>Member will</w:t>
      </w:r>
      <w:r w:rsidR="00C20A45" w:rsidRPr="00E207E1">
        <w:t>:</w:t>
      </w:r>
    </w:p>
    <w:p w:rsidR="00C20A45" w:rsidRPr="00C20A45" w:rsidRDefault="00C20A45" w:rsidP="00B92AC6"/>
    <w:p w:rsidR="00C20A45" w:rsidRDefault="00C20A45" w:rsidP="006E14F4">
      <w:pPr>
        <w:ind w:left="1440" w:hanging="720"/>
      </w:pPr>
      <w:r>
        <w:t>a.</w:t>
      </w:r>
      <w:r>
        <w:tab/>
      </w:r>
      <w:proofErr w:type="gramStart"/>
      <w:r w:rsidR="00B32981">
        <w:t>B</w:t>
      </w:r>
      <w:r w:rsidRPr="00DF399D">
        <w:t>e</w:t>
      </w:r>
      <w:proofErr w:type="gramEnd"/>
      <w:r w:rsidRPr="00DF399D">
        <w:t xml:space="preserve"> responsible for costs incurred as a participant in the FEDLINK </w:t>
      </w:r>
      <w:r>
        <w:t>program</w:t>
      </w:r>
      <w:r w:rsidRPr="00DF399D">
        <w:t xml:space="preserve">. </w:t>
      </w:r>
    </w:p>
    <w:p w:rsidR="009A00E5" w:rsidRDefault="009A00E5" w:rsidP="006E14F4">
      <w:pPr>
        <w:ind w:left="1440" w:hanging="720"/>
      </w:pPr>
    </w:p>
    <w:p w:rsidR="009A00E5" w:rsidRDefault="009A00E5" w:rsidP="006E14F4">
      <w:pPr>
        <w:ind w:left="1440" w:hanging="720"/>
      </w:pPr>
      <w:r>
        <w:t>b.</w:t>
      </w:r>
      <w:r>
        <w:tab/>
      </w:r>
      <w:r w:rsidR="002633B3">
        <w:t>Follow</w:t>
      </w:r>
      <w:r>
        <w:t xml:space="preserve"> </w:t>
      </w:r>
      <w:r w:rsidRPr="0094546D">
        <w:t xml:space="preserve">administrative policies and procedures </w:t>
      </w:r>
      <w:r>
        <w:t xml:space="preserve">set forth in FEDLINK customer guides and other </w:t>
      </w:r>
      <w:r w:rsidRPr="0094546D">
        <w:t xml:space="preserve">FEDLINK </w:t>
      </w:r>
      <w:r w:rsidR="002633B3">
        <w:t>instructions</w:t>
      </w:r>
      <w:r w:rsidRPr="0094546D">
        <w:t xml:space="preserve">. </w:t>
      </w:r>
    </w:p>
    <w:p w:rsidR="009A00E5" w:rsidRDefault="009A00E5" w:rsidP="006E14F4">
      <w:pPr>
        <w:ind w:left="1440" w:hanging="720"/>
      </w:pPr>
    </w:p>
    <w:p w:rsidR="009A00E5" w:rsidRDefault="009A00E5" w:rsidP="006E14F4">
      <w:pPr>
        <w:ind w:left="1440" w:hanging="720"/>
      </w:pPr>
      <w:r>
        <w:t>c.</w:t>
      </w:r>
      <w:r>
        <w:tab/>
        <w:t>Notify FEDLINK of any unique requirements or mission-specific restrictions applicable to this IAA</w:t>
      </w:r>
      <w:r w:rsidR="002633B3">
        <w:t xml:space="preserve"> and Annual Orders</w:t>
      </w:r>
      <w:r>
        <w:t>.</w:t>
      </w:r>
    </w:p>
    <w:p w:rsidR="00C20A45" w:rsidRDefault="00C20A45" w:rsidP="006E14F4">
      <w:pPr>
        <w:ind w:left="1440" w:hanging="720"/>
      </w:pPr>
    </w:p>
    <w:p w:rsidR="00D71566" w:rsidRDefault="00D71566" w:rsidP="006E14F4">
      <w:pPr>
        <w:ind w:left="1440" w:hanging="720"/>
      </w:pPr>
      <w:r>
        <w:t>d.</w:t>
      </w:r>
      <w:r>
        <w:tab/>
        <w:t>Support the FEDLINK contracting officer</w:t>
      </w:r>
      <w:r w:rsidR="00D92CCD">
        <w:t>s</w:t>
      </w:r>
      <w:r>
        <w:t xml:space="preserve"> and contracting officer representatives in the </w:t>
      </w:r>
      <w:r w:rsidR="00352032">
        <w:t>establishment</w:t>
      </w:r>
      <w:r>
        <w:t xml:space="preserve"> and administration of contracts and orders </w:t>
      </w:r>
      <w:r w:rsidR="002633B3">
        <w:t>issued in fulfillment of</w:t>
      </w:r>
      <w:r>
        <w:t xml:space="preserve"> this IAA.  </w:t>
      </w:r>
    </w:p>
    <w:p w:rsidR="00D71566" w:rsidRDefault="00D71566" w:rsidP="006E14F4">
      <w:pPr>
        <w:ind w:left="1440" w:hanging="720"/>
      </w:pPr>
    </w:p>
    <w:p w:rsidR="00C20A45" w:rsidRDefault="00D71566" w:rsidP="006E14F4">
      <w:pPr>
        <w:ind w:left="1440" w:hanging="720"/>
      </w:pPr>
      <w:r>
        <w:t>e</w:t>
      </w:r>
      <w:r w:rsidR="00C20A45">
        <w:t>.</w:t>
      </w:r>
      <w:r w:rsidR="00C20A45">
        <w:tab/>
      </w:r>
      <w:r w:rsidR="00C20A45" w:rsidRPr="00DF399D">
        <w:t>For transfer pay services</w:t>
      </w:r>
      <w:r w:rsidR="0091443C">
        <w:t xml:space="preserve">:  </w:t>
      </w:r>
      <w:r w:rsidR="00C20A45" w:rsidRPr="00DF399D">
        <w:t>properly order and verify receipt of goods and services for which FEDLINK makes payment</w:t>
      </w:r>
      <w:r w:rsidR="0091443C">
        <w:t xml:space="preserve">; </w:t>
      </w:r>
      <w:r w:rsidR="00773B15">
        <w:t xml:space="preserve">and, </w:t>
      </w:r>
      <w:r w:rsidR="0091443C">
        <w:t>monitor usage of contracted services to be sure su</w:t>
      </w:r>
      <w:r w:rsidR="00102B0A">
        <w:t xml:space="preserve">fficient funds are available.     </w:t>
      </w:r>
    </w:p>
    <w:p w:rsidR="0065662D" w:rsidRDefault="0065662D" w:rsidP="006E14F4">
      <w:pPr>
        <w:ind w:left="1440" w:hanging="720"/>
      </w:pPr>
    </w:p>
    <w:p w:rsidR="0065662D" w:rsidRDefault="0065662D" w:rsidP="006E14F4">
      <w:pPr>
        <w:ind w:left="1440" w:hanging="720"/>
      </w:pPr>
      <w:r>
        <w:t>f.</w:t>
      </w:r>
      <w:r>
        <w:tab/>
        <w:t>For transfer pay services of a continuing nature, such as subscriptions to online databases</w:t>
      </w:r>
      <w:r w:rsidR="00A42693">
        <w:t xml:space="preserve"> and other publications</w:t>
      </w:r>
      <w:r>
        <w:t xml:space="preserve">, </w:t>
      </w:r>
      <w:r w:rsidR="00930FED">
        <w:t xml:space="preserve">timely </w:t>
      </w:r>
      <w:r w:rsidR="00E14B5E">
        <w:t>notify FEDL</w:t>
      </w:r>
      <w:r w:rsidR="00AF569C">
        <w:t>INK</w:t>
      </w:r>
      <w:r w:rsidR="00E14B5E">
        <w:t xml:space="preserve"> of the Member’s intent to renew services</w:t>
      </w:r>
      <w:r w:rsidR="00102B0A">
        <w:t xml:space="preserve"> and process subsequent Annual Orders in a timely fashion.  </w:t>
      </w:r>
    </w:p>
    <w:p w:rsidR="00C20A45" w:rsidRPr="00DF399D" w:rsidRDefault="00C20A45" w:rsidP="006E14F4">
      <w:pPr>
        <w:ind w:left="1440" w:hanging="720"/>
      </w:pPr>
    </w:p>
    <w:p w:rsidR="00C20A45" w:rsidRDefault="0065662D" w:rsidP="006E14F4">
      <w:pPr>
        <w:ind w:left="1440" w:hanging="720"/>
      </w:pPr>
      <w:r>
        <w:t>g</w:t>
      </w:r>
      <w:r w:rsidR="00C20A45">
        <w:t>.</w:t>
      </w:r>
      <w:r w:rsidR="00C20A45">
        <w:tab/>
      </w:r>
      <w:r w:rsidR="00C20A45" w:rsidRPr="0094546D">
        <w:t>For direct pay services, execut</w:t>
      </w:r>
      <w:r w:rsidR="00C20A45">
        <w:t>e</w:t>
      </w:r>
      <w:r w:rsidR="00C20A45" w:rsidRPr="0094546D">
        <w:t xml:space="preserve"> contract actions </w:t>
      </w:r>
      <w:r w:rsidR="00F0548B">
        <w:t>under</w:t>
      </w:r>
      <w:r w:rsidR="00D71566">
        <w:t xml:space="preserve"> FEDLINK contracts and agreements </w:t>
      </w:r>
      <w:r w:rsidR="00C20A45" w:rsidRPr="0094546D">
        <w:t xml:space="preserve">in accordance with applicable regulations. </w:t>
      </w:r>
      <w:r w:rsidR="00506114">
        <w:t xml:space="preserve"> </w:t>
      </w:r>
      <w:r w:rsidR="00C20A45" w:rsidRPr="0094546D">
        <w:t xml:space="preserve">See </w:t>
      </w:r>
      <w:r w:rsidR="00D60F1B">
        <w:t>FAR</w:t>
      </w:r>
      <w:r w:rsidR="00C20A45">
        <w:t xml:space="preserve"> </w:t>
      </w:r>
      <w:r w:rsidR="00F0548B" w:rsidRPr="0094546D">
        <w:t xml:space="preserve">16.505 </w:t>
      </w:r>
      <w:r w:rsidR="00C72931">
        <w:t>on</w:t>
      </w:r>
      <w:r w:rsidR="00F0548B">
        <w:t xml:space="preserve"> </w:t>
      </w:r>
      <w:r w:rsidR="00F0548B" w:rsidRPr="0094546D">
        <w:t xml:space="preserve">indefinite-delivery indefinite-quantity contracts </w:t>
      </w:r>
      <w:r w:rsidR="00F0548B">
        <w:t xml:space="preserve">and FAR </w:t>
      </w:r>
      <w:r w:rsidR="00C20A45" w:rsidRPr="0094546D">
        <w:t xml:space="preserve">16.703 </w:t>
      </w:r>
      <w:r w:rsidR="00C72931">
        <w:t>on</w:t>
      </w:r>
      <w:r w:rsidR="00F0548B">
        <w:t xml:space="preserve"> </w:t>
      </w:r>
      <w:r w:rsidR="00C20A45" w:rsidRPr="0094546D">
        <w:t>basic ordering agreements</w:t>
      </w:r>
      <w:r w:rsidR="00F0548B">
        <w:t xml:space="preserve">.  </w:t>
      </w:r>
      <w:r w:rsidR="00C20A45">
        <w:t xml:space="preserve"> </w:t>
      </w:r>
    </w:p>
    <w:p w:rsidR="00C20A45" w:rsidRDefault="00C20A45" w:rsidP="006E14F4">
      <w:pPr>
        <w:ind w:left="1440" w:hanging="720"/>
      </w:pPr>
    </w:p>
    <w:p w:rsidR="00C20A45" w:rsidRDefault="0065662D" w:rsidP="006E14F4">
      <w:pPr>
        <w:ind w:left="1440" w:hanging="720"/>
      </w:pPr>
      <w:r>
        <w:t>h</w:t>
      </w:r>
      <w:r w:rsidR="00C20A45">
        <w:t>.</w:t>
      </w:r>
      <w:r w:rsidR="00C20A45">
        <w:tab/>
      </w:r>
      <w:r w:rsidR="00D60F1B">
        <w:t>E</w:t>
      </w:r>
      <w:r w:rsidR="00C20A45">
        <w:t xml:space="preserve">valuate the performance of </w:t>
      </w:r>
      <w:r w:rsidR="00D71566">
        <w:t>contractors</w:t>
      </w:r>
      <w:r w:rsidR="00C20A45">
        <w:t xml:space="preserve"> used to fill its orders. </w:t>
      </w:r>
    </w:p>
    <w:p w:rsidR="00C20A45" w:rsidRDefault="00C20A45" w:rsidP="006E14F4">
      <w:pPr>
        <w:ind w:left="1440" w:hanging="720"/>
      </w:pPr>
    </w:p>
    <w:p w:rsidR="00FE2AF9" w:rsidRDefault="0065662D" w:rsidP="006E14F4">
      <w:pPr>
        <w:ind w:left="1440" w:hanging="720"/>
      </w:pPr>
      <w:r>
        <w:t>i</w:t>
      </w:r>
      <w:r w:rsidR="009A00E5">
        <w:t>.</w:t>
      </w:r>
      <w:r w:rsidR="009A00E5">
        <w:tab/>
      </w:r>
      <w:r w:rsidR="00FE2AF9">
        <w:t xml:space="preserve">Assist the Library in pursuing, defending, or resolving terminations, protests, claims, disputes, and other administrative or judicial actions related to the Member’s Annual Orders.  The </w:t>
      </w:r>
      <w:r w:rsidR="00FE2AF9" w:rsidRPr="00C75452">
        <w:t xml:space="preserve">Member </w:t>
      </w:r>
      <w:r w:rsidR="00FE2AF9">
        <w:t xml:space="preserve">will </w:t>
      </w:r>
      <w:r w:rsidR="00FE2AF9" w:rsidRPr="00C75452">
        <w:t xml:space="preserve">pay all costs associated </w:t>
      </w:r>
      <w:r w:rsidR="00FE2AF9">
        <w:t xml:space="preserve">with such actions, provided, however, that the Member will </w:t>
      </w:r>
      <w:r w:rsidR="00FE2AF9" w:rsidRPr="00C75452">
        <w:t xml:space="preserve">not be responsible for costs arising from </w:t>
      </w:r>
      <w:r w:rsidR="00FE2AF9">
        <w:t xml:space="preserve">any FEDLINK error or negligence.    </w:t>
      </w:r>
      <w:r w:rsidR="00FE2AF9" w:rsidRPr="00C75452">
        <w:t xml:space="preserve"> </w:t>
      </w:r>
    </w:p>
    <w:p w:rsidR="00C20A45" w:rsidRDefault="00C20A45" w:rsidP="00B92AC6"/>
    <w:p w:rsidR="00B07890" w:rsidRPr="00B07890" w:rsidRDefault="004C4830" w:rsidP="00B92AC6">
      <w:pPr>
        <w:pStyle w:val="Heading1"/>
      </w:pPr>
      <w:r>
        <w:t>7</w:t>
      </w:r>
      <w:r w:rsidR="00E76A93">
        <w:t>.</w:t>
      </w:r>
      <w:r w:rsidR="00E76A93">
        <w:tab/>
      </w:r>
      <w:r w:rsidR="00B07890">
        <w:t>AMENDMENT</w:t>
      </w:r>
      <w:r w:rsidR="00244CC7">
        <w:t xml:space="preserve"> </w:t>
      </w:r>
    </w:p>
    <w:p w:rsidR="002C62F8" w:rsidRDefault="002C62F8" w:rsidP="00B92AC6"/>
    <w:p w:rsidR="009A00E5" w:rsidRDefault="00B07890" w:rsidP="00B92AC6">
      <w:r w:rsidRPr="0094546D">
        <w:t xml:space="preserve">This IAA </w:t>
      </w:r>
      <w:r w:rsidR="0075065F">
        <w:t xml:space="preserve">and Annual Orders hereunder </w:t>
      </w:r>
      <w:r w:rsidRPr="0094546D">
        <w:t xml:space="preserve">may be amended by mutual consent. </w:t>
      </w:r>
      <w:r w:rsidR="00244CC7">
        <w:t xml:space="preserve"> </w:t>
      </w:r>
      <w:r w:rsidR="0075065F">
        <w:t xml:space="preserve">The Member </w:t>
      </w:r>
      <w:r w:rsidR="00D266F6">
        <w:t xml:space="preserve">Program Official </w:t>
      </w:r>
      <w:r w:rsidR="0075065F">
        <w:t xml:space="preserve">is authorized to sign Annual Order amendments that reallocate funds among requested services (i.e., that do not obligate additional Member funds to the Library).   </w:t>
      </w:r>
      <w:r w:rsidR="0075065F" w:rsidRPr="0094546D">
        <w:t xml:space="preserve"> </w:t>
      </w:r>
    </w:p>
    <w:p w:rsidR="009A00E5" w:rsidRPr="006E14F4" w:rsidRDefault="0091443C" w:rsidP="00B92AC6">
      <w:pPr>
        <w:rPr>
          <w:b/>
        </w:rPr>
      </w:pPr>
      <w:r>
        <w:rPr>
          <w:b/>
        </w:rPr>
        <w:br w:type="page"/>
      </w:r>
      <w:r w:rsidR="009A00E5" w:rsidRPr="006E14F4">
        <w:rPr>
          <w:b/>
        </w:rPr>
        <w:lastRenderedPageBreak/>
        <w:t>8.</w:t>
      </w:r>
      <w:r w:rsidR="009A00E5" w:rsidRPr="006E14F4">
        <w:rPr>
          <w:b/>
        </w:rPr>
        <w:tab/>
        <w:t>TERMINATION</w:t>
      </w:r>
    </w:p>
    <w:p w:rsidR="009A00E5" w:rsidRDefault="009A00E5" w:rsidP="00B92AC6"/>
    <w:p w:rsidR="006E14F4" w:rsidRDefault="00B07890" w:rsidP="00B92AC6">
      <w:proofErr w:type="gramStart"/>
      <w:r w:rsidRPr="0094546D">
        <w:t xml:space="preserve">This IAA may be </w:t>
      </w:r>
      <w:r w:rsidR="00E76A93">
        <w:t>terminated</w:t>
      </w:r>
      <w:r w:rsidRPr="0094546D">
        <w:t xml:space="preserve"> by either party upon giving at least 60 days written </w:t>
      </w:r>
      <w:r w:rsidR="00E548E8">
        <w:t>notice</w:t>
      </w:r>
      <w:proofErr w:type="gramEnd"/>
      <w:r w:rsidRPr="0094546D">
        <w:t xml:space="preserve">. </w:t>
      </w:r>
      <w:r w:rsidR="00E76A93">
        <w:t xml:space="preserve"> </w:t>
      </w:r>
      <w:bookmarkStart w:id="0" w:name="wp1157417"/>
      <w:bookmarkEnd w:id="0"/>
      <w:r w:rsidR="00E548E8">
        <w:t xml:space="preserve">At the Member’s request, </w:t>
      </w:r>
      <w:r w:rsidR="00244CC7">
        <w:t>c</w:t>
      </w:r>
      <w:r w:rsidR="0017458E" w:rsidRPr="00DF399D">
        <w:t xml:space="preserve">ontracts issued </w:t>
      </w:r>
      <w:r w:rsidR="00FE1384">
        <w:t>in fulfillment of Annual Orders may b</w:t>
      </w:r>
      <w:r w:rsidR="0017458E" w:rsidRPr="00DF399D">
        <w:t xml:space="preserve">e </w:t>
      </w:r>
      <w:r w:rsidR="002B25B7" w:rsidRPr="00DF399D">
        <w:t xml:space="preserve">partially or wholly </w:t>
      </w:r>
      <w:r w:rsidR="0017458E" w:rsidRPr="00DF399D">
        <w:t>terminated for convenience</w:t>
      </w:r>
      <w:r w:rsidR="002B25B7" w:rsidRPr="00DF399D">
        <w:t xml:space="preserve"> </w:t>
      </w:r>
      <w:r w:rsidR="00244CC7">
        <w:t>or</w:t>
      </w:r>
      <w:r w:rsidR="00C75452" w:rsidRPr="00DF399D">
        <w:t xml:space="preserve"> </w:t>
      </w:r>
      <w:r w:rsidR="0017458E" w:rsidRPr="00DF399D">
        <w:t xml:space="preserve">terminated for </w:t>
      </w:r>
      <w:r w:rsidR="00244CC7">
        <w:t>default</w:t>
      </w:r>
      <w:r w:rsidR="00131F3F">
        <w:t xml:space="preserve"> </w:t>
      </w:r>
      <w:r w:rsidR="008207C7">
        <w:t xml:space="preserve">in accordance with the FAR.  Termination of the IAA will not result in the termination of contracts issued under the IAA unless specifically requested by the Member.  </w:t>
      </w:r>
      <w:r w:rsidR="005806A1">
        <w:t xml:space="preserve"> </w:t>
      </w:r>
    </w:p>
    <w:p w:rsidR="0091443C" w:rsidRDefault="0091443C" w:rsidP="00F0548B">
      <w:pPr>
        <w:rPr>
          <w:b/>
        </w:rPr>
      </w:pPr>
    </w:p>
    <w:p w:rsidR="00E76A93" w:rsidRPr="00F0548B" w:rsidRDefault="009A00E5" w:rsidP="00F0548B">
      <w:pPr>
        <w:rPr>
          <w:b/>
        </w:rPr>
      </w:pPr>
      <w:r w:rsidRPr="00F0548B">
        <w:rPr>
          <w:b/>
        </w:rPr>
        <w:t>9</w:t>
      </w:r>
      <w:r w:rsidR="00E76A93" w:rsidRPr="00F0548B">
        <w:rPr>
          <w:b/>
        </w:rPr>
        <w:t>.</w:t>
      </w:r>
      <w:r w:rsidR="00E76A93" w:rsidRPr="00F0548B">
        <w:rPr>
          <w:b/>
        </w:rPr>
        <w:tab/>
      </w:r>
      <w:r w:rsidR="00FE2AF9" w:rsidRPr="00F0548B">
        <w:rPr>
          <w:b/>
        </w:rPr>
        <w:t xml:space="preserve">IAA </w:t>
      </w:r>
      <w:r w:rsidR="00E76A93" w:rsidRPr="00F0548B">
        <w:rPr>
          <w:b/>
        </w:rPr>
        <w:t>DISPUTES</w:t>
      </w:r>
    </w:p>
    <w:p w:rsidR="00E76A93" w:rsidRPr="00DF399D" w:rsidRDefault="00E76A93" w:rsidP="00B92AC6"/>
    <w:p w:rsidR="00E76A93" w:rsidRDefault="00892622" w:rsidP="00B92AC6">
      <w:r>
        <w:t xml:space="preserve">Any disputes between </w:t>
      </w:r>
      <w:r w:rsidR="000B29DE">
        <w:t xml:space="preserve">FEDLINK and the Member </w:t>
      </w:r>
      <w:r w:rsidR="00E76A93" w:rsidRPr="0094546D">
        <w:t xml:space="preserve">under this IAA </w:t>
      </w:r>
      <w:r w:rsidR="000B29DE">
        <w:t xml:space="preserve">will be submitted </w:t>
      </w:r>
      <w:r w:rsidR="00E76A93">
        <w:t xml:space="preserve">to the </w:t>
      </w:r>
      <w:r w:rsidR="00E279C9">
        <w:t>Program Officials</w:t>
      </w:r>
      <w:r w:rsidR="00E76A93">
        <w:t xml:space="preserve"> identified </w:t>
      </w:r>
      <w:r w:rsidR="00321335">
        <w:t>below</w:t>
      </w:r>
      <w:r w:rsidR="00E76A93">
        <w:t xml:space="preserve">. </w:t>
      </w:r>
      <w:r>
        <w:t xml:space="preserve"> </w:t>
      </w:r>
      <w:r w:rsidR="00E76A93">
        <w:t xml:space="preserve">Disputes not resolved within 180 days will be referred to the </w:t>
      </w:r>
      <w:r w:rsidR="00906FA0">
        <w:t>Authorized Agency Official</w:t>
      </w:r>
      <w:r w:rsidR="00203149">
        <w:t>s identified below</w:t>
      </w:r>
      <w:r w:rsidR="00906FA0">
        <w:t xml:space="preserve">.  </w:t>
      </w:r>
      <w:r w:rsidR="00E76A93">
        <w:t xml:space="preserve">Disputes not resolved by </w:t>
      </w:r>
      <w:r w:rsidR="00906FA0">
        <w:t xml:space="preserve">Authorized Agency Officials </w:t>
      </w:r>
      <w:r w:rsidR="00E76A93">
        <w:t>within 180 days will be resolved consistent with the procedure established by Treasury Financial Manua</w:t>
      </w:r>
      <w:r w:rsidR="00E76A93" w:rsidRPr="0094546D">
        <w:t>l Volume I</w:t>
      </w:r>
      <w:r w:rsidR="00E76A93">
        <w:t xml:space="preserve">, Part 2, Chapter 4700, Appendix 10, </w:t>
      </w:r>
      <w:proofErr w:type="gramStart"/>
      <w:r w:rsidR="00E76A93">
        <w:t>subsection</w:t>
      </w:r>
      <w:proofErr w:type="gramEnd"/>
      <w:r w:rsidR="00E76A93">
        <w:t xml:space="preserve"> 2.4.2.</w:t>
      </w:r>
    </w:p>
    <w:p w:rsidR="00E76A93" w:rsidRDefault="000B29DE" w:rsidP="00B92AC6">
      <w:r>
        <w:t xml:space="preserve">  </w:t>
      </w:r>
    </w:p>
    <w:p w:rsidR="001A77B4" w:rsidRDefault="009A00E5" w:rsidP="00B92AC6">
      <w:pPr>
        <w:pStyle w:val="Heading1"/>
      </w:pPr>
      <w:r>
        <w:t>10</w:t>
      </w:r>
      <w:r w:rsidR="00892622">
        <w:t>.</w:t>
      </w:r>
      <w:r w:rsidR="00892622">
        <w:tab/>
      </w:r>
      <w:r w:rsidR="00210406" w:rsidRPr="0094546D">
        <w:t xml:space="preserve">APPROVAL </w:t>
      </w:r>
      <w:r w:rsidR="00210406" w:rsidRPr="0094546D">
        <w:br/>
      </w:r>
    </w:p>
    <w:p w:rsidR="00EC0E80" w:rsidRDefault="001A77B4" w:rsidP="00B92AC6">
      <w:r w:rsidRPr="0094546D">
        <w:t xml:space="preserve">This IAA </w:t>
      </w:r>
      <w:r>
        <w:t>becomes effective when signed by both parties</w:t>
      </w:r>
      <w:r w:rsidR="00BF2614">
        <w:t xml:space="preserve">.  </w:t>
      </w:r>
      <w:proofErr w:type="gramStart"/>
      <w:r w:rsidR="00210406" w:rsidRPr="0094546D">
        <w:t xml:space="preserve">This IAA will be signed for the </w:t>
      </w:r>
      <w:r w:rsidR="00892622">
        <w:t>M</w:t>
      </w:r>
      <w:r w:rsidR="00210406" w:rsidRPr="0094546D">
        <w:t xml:space="preserve">ember by an </w:t>
      </w:r>
      <w:r w:rsidR="00FE2600">
        <w:t xml:space="preserve">agency </w:t>
      </w:r>
      <w:r w:rsidR="00210406" w:rsidRPr="0094546D">
        <w:t>official who is authorized to obligate agency funds and sign interagency agreements</w:t>
      </w:r>
      <w:proofErr w:type="gramEnd"/>
      <w:r w:rsidR="00210406" w:rsidRPr="0094546D">
        <w:t xml:space="preserve">. </w:t>
      </w:r>
      <w:r w:rsidR="00EC0E80">
        <w:t xml:space="preserve"> </w:t>
      </w:r>
    </w:p>
    <w:p w:rsidR="00EC0E80" w:rsidRDefault="00EC0E80" w:rsidP="00B92AC6"/>
    <w:p w:rsidR="00EC0E80" w:rsidRDefault="00EC0E80" w:rsidP="00B92AC6">
      <w:r>
        <w:t xml:space="preserve">By signing the IAA, the </w:t>
      </w:r>
      <w:r w:rsidR="00FE2600">
        <w:t xml:space="preserve">Member’s Authorized Agency Official </w:t>
      </w:r>
      <w:r>
        <w:t>certifies that</w:t>
      </w:r>
      <w:r w:rsidR="00FE2600">
        <w:t xml:space="preserve"> the Member</w:t>
      </w:r>
      <w:r w:rsidR="00A01813">
        <w:t xml:space="preserve">:  </w:t>
      </w:r>
      <w:r w:rsidR="005D6758">
        <w:t>accepts the terms of this IAA</w:t>
      </w:r>
      <w:r w:rsidR="00A01813">
        <w:t xml:space="preserve"> and</w:t>
      </w:r>
      <w:r w:rsidR="005C4DF6">
        <w:t xml:space="preserve"> </w:t>
      </w:r>
      <w:r w:rsidR="00B2544D">
        <w:t xml:space="preserve">has determined that </w:t>
      </w:r>
      <w:r w:rsidR="004205AD">
        <w:t xml:space="preserve">acquiring </w:t>
      </w:r>
      <w:r w:rsidR="00B2544D">
        <w:t>services through FEDL</w:t>
      </w:r>
      <w:r w:rsidR="004205AD">
        <w:t>INK</w:t>
      </w:r>
      <w:r w:rsidR="00B2544D">
        <w:t xml:space="preserve"> is the best </w:t>
      </w:r>
      <w:r w:rsidR="004205AD">
        <w:t>procurement approach</w:t>
      </w:r>
      <w:r w:rsidR="00B2544D">
        <w:t xml:space="preserve"> (per FAR part 17.5)</w:t>
      </w:r>
      <w:r w:rsidR="00A01813">
        <w:t>.</w:t>
      </w:r>
      <w:r w:rsidR="00B2544D">
        <w:t xml:space="preserve"> </w:t>
      </w:r>
    </w:p>
    <w:p w:rsidR="00EC0E80" w:rsidRDefault="00EC0E80" w:rsidP="00B92AC6"/>
    <w:p w:rsidR="00E207E1" w:rsidRDefault="00210406" w:rsidP="00B92AC6">
      <w:pPr>
        <w:rPr>
          <w:szCs w:val="22"/>
        </w:rPr>
      </w:pPr>
      <w:r w:rsidRPr="0094546D">
        <w:t>This IAA may be executed in counterparts</w:t>
      </w:r>
      <w:r w:rsidR="00F0548B">
        <w:t xml:space="preserve">, meaning </w:t>
      </w:r>
      <w:r w:rsidR="005D6758">
        <w:t xml:space="preserve">each party may sign a separate </w:t>
      </w:r>
      <w:proofErr w:type="gramStart"/>
      <w:r w:rsidR="005D6758">
        <w:t>document which</w:t>
      </w:r>
      <w:proofErr w:type="gramEnd"/>
      <w:r w:rsidR="005D6758">
        <w:t xml:space="preserve"> together will constitute a complete IAA</w:t>
      </w:r>
      <w:r w:rsidR="00CC7738">
        <w:t xml:space="preserve">.  </w:t>
      </w:r>
      <w:r w:rsidR="005D6758">
        <w:t xml:space="preserve">Facsimile signatures will be accepted.  </w:t>
      </w:r>
      <w:r w:rsidRPr="0094546D">
        <w:t xml:space="preserve"> </w:t>
      </w:r>
      <w:r w:rsidR="00892622">
        <w:t xml:space="preserve"> </w:t>
      </w:r>
    </w:p>
    <w:p w:rsidR="00D266F6" w:rsidRDefault="00D266F6" w:rsidP="00B92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3427"/>
        <w:gridCol w:w="3881"/>
      </w:tblGrid>
      <w:tr w:rsidR="00D266F6" w:rsidTr="001A1985">
        <w:tc>
          <w:tcPr>
            <w:tcW w:w="2268" w:type="dxa"/>
            <w:shd w:val="clear" w:color="auto" w:fill="auto"/>
          </w:tcPr>
          <w:p w:rsidR="00D266F6" w:rsidRPr="00D266F6" w:rsidRDefault="00D266F6" w:rsidP="00B92AC6"/>
        </w:tc>
        <w:tc>
          <w:tcPr>
            <w:tcW w:w="3427" w:type="dxa"/>
            <w:shd w:val="clear" w:color="auto" w:fill="auto"/>
          </w:tcPr>
          <w:p w:rsidR="00D266F6" w:rsidRPr="001A1985" w:rsidRDefault="00D266F6" w:rsidP="001A1985">
            <w:pPr>
              <w:jc w:val="center"/>
              <w:rPr>
                <w:b/>
              </w:rPr>
            </w:pPr>
            <w:r w:rsidRPr="001A1985">
              <w:rPr>
                <w:b/>
              </w:rPr>
              <w:t>LIBRARY OF CONGRESS</w:t>
            </w:r>
          </w:p>
        </w:tc>
        <w:tc>
          <w:tcPr>
            <w:tcW w:w="3881" w:type="dxa"/>
            <w:shd w:val="clear" w:color="auto" w:fill="auto"/>
          </w:tcPr>
          <w:p w:rsidR="00D266F6" w:rsidRPr="001A1985" w:rsidRDefault="00D266F6" w:rsidP="001A1985">
            <w:pPr>
              <w:jc w:val="center"/>
              <w:rPr>
                <w:b/>
              </w:rPr>
            </w:pPr>
            <w:r w:rsidRPr="001A1985">
              <w:rPr>
                <w:b/>
              </w:rPr>
              <w:t>MEMBER</w:t>
            </w:r>
          </w:p>
        </w:tc>
      </w:tr>
      <w:tr w:rsidR="00FE2600" w:rsidTr="001A1985">
        <w:tc>
          <w:tcPr>
            <w:tcW w:w="9576" w:type="dxa"/>
            <w:gridSpan w:val="3"/>
            <w:shd w:val="clear" w:color="auto" w:fill="auto"/>
          </w:tcPr>
          <w:p w:rsidR="00FE2600" w:rsidRPr="00CA23A0" w:rsidRDefault="00FE2600" w:rsidP="00B92AC6">
            <w:pPr>
              <w:rPr>
                <w:b/>
              </w:rPr>
            </w:pPr>
            <w:r w:rsidRPr="00CA23A0">
              <w:rPr>
                <w:b/>
              </w:rPr>
              <w:t>AUTHORIZED AGENCY OFFICIAL</w:t>
            </w:r>
          </w:p>
        </w:tc>
      </w:tr>
      <w:tr w:rsidR="00D266F6" w:rsidTr="008369CA">
        <w:tc>
          <w:tcPr>
            <w:tcW w:w="2268" w:type="dxa"/>
            <w:shd w:val="clear" w:color="auto" w:fill="auto"/>
          </w:tcPr>
          <w:p w:rsidR="00D266F6" w:rsidRPr="00D266F6" w:rsidRDefault="00D266F6" w:rsidP="00B92AC6">
            <w:r w:rsidRPr="00D266F6">
              <w:t>Name</w:t>
            </w:r>
          </w:p>
        </w:tc>
        <w:tc>
          <w:tcPr>
            <w:tcW w:w="3427" w:type="dxa"/>
            <w:shd w:val="clear" w:color="auto" w:fill="auto"/>
          </w:tcPr>
          <w:p w:rsidR="00D266F6" w:rsidRPr="00CC4633" w:rsidRDefault="00CC4633" w:rsidP="00B92AC6">
            <w:r w:rsidRPr="00CC4633">
              <w:t>Meg Tulloch</w:t>
            </w:r>
          </w:p>
        </w:tc>
        <w:tc>
          <w:tcPr>
            <w:tcW w:w="3881" w:type="dxa"/>
            <w:shd w:val="clear" w:color="auto" w:fill="FFFF00"/>
          </w:tcPr>
          <w:p w:rsidR="00D266F6" w:rsidRPr="008369CA" w:rsidRDefault="00D266F6" w:rsidP="00B92AC6"/>
        </w:tc>
      </w:tr>
      <w:tr w:rsidR="00D266F6" w:rsidTr="008369CA">
        <w:tc>
          <w:tcPr>
            <w:tcW w:w="2268" w:type="dxa"/>
            <w:shd w:val="clear" w:color="auto" w:fill="auto"/>
          </w:tcPr>
          <w:p w:rsidR="00D266F6" w:rsidRPr="00D266F6" w:rsidRDefault="00D266F6" w:rsidP="00B92AC6">
            <w:r w:rsidRPr="00D266F6">
              <w:t>Title</w:t>
            </w:r>
          </w:p>
        </w:tc>
        <w:tc>
          <w:tcPr>
            <w:tcW w:w="3427" w:type="dxa"/>
            <w:shd w:val="clear" w:color="auto" w:fill="auto"/>
          </w:tcPr>
          <w:p w:rsidR="00D266F6" w:rsidRPr="00CC4633" w:rsidRDefault="00397C0E" w:rsidP="00B92AC6">
            <w:r w:rsidRPr="00CC4633">
              <w:t xml:space="preserve">Executive </w:t>
            </w:r>
            <w:r w:rsidR="00D266F6" w:rsidRPr="00CC4633">
              <w:t>Director, FEDLINK</w:t>
            </w:r>
          </w:p>
        </w:tc>
        <w:tc>
          <w:tcPr>
            <w:tcW w:w="3881" w:type="dxa"/>
            <w:shd w:val="clear" w:color="auto" w:fill="FFFF00"/>
          </w:tcPr>
          <w:p w:rsidR="00D266F6" w:rsidRPr="008369CA" w:rsidRDefault="00D266F6" w:rsidP="00B92AC6"/>
        </w:tc>
      </w:tr>
      <w:tr w:rsidR="00D266F6" w:rsidTr="008369CA">
        <w:tc>
          <w:tcPr>
            <w:tcW w:w="2268" w:type="dxa"/>
            <w:shd w:val="clear" w:color="auto" w:fill="auto"/>
          </w:tcPr>
          <w:p w:rsidR="00D266F6" w:rsidRPr="00D266F6" w:rsidRDefault="00D266F6" w:rsidP="00B92AC6">
            <w:r w:rsidRPr="00D266F6">
              <w:t xml:space="preserve">Phone </w:t>
            </w:r>
            <w:r w:rsidRPr="001A1985">
              <w:rPr>
                <w:sz w:val="16"/>
              </w:rPr>
              <w:t>(commercial only)</w:t>
            </w:r>
          </w:p>
        </w:tc>
        <w:tc>
          <w:tcPr>
            <w:tcW w:w="3427" w:type="dxa"/>
            <w:shd w:val="clear" w:color="auto" w:fill="auto"/>
          </w:tcPr>
          <w:p w:rsidR="00D266F6" w:rsidRPr="00CC4633" w:rsidRDefault="00551EF9" w:rsidP="00551EF9">
            <w:r w:rsidRPr="00CC4633">
              <w:t>(202) 707-4800</w:t>
            </w:r>
          </w:p>
        </w:tc>
        <w:tc>
          <w:tcPr>
            <w:tcW w:w="3881" w:type="dxa"/>
            <w:shd w:val="clear" w:color="auto" w:fill="FFFF00"/>
          </w:tcPr>
          <w:p w:rsidR="00D266F6" w:rsidRPr="008369CA" w:rsidRDefault="00D266F6" w:rsidP="00B92AC6"/>
        </w:tc>
      </w:tr>
      <w:tr w:rsidR="00D266F6" w:rsidTr="008369CA">
        <w:tc>
          <w:tcPr>
            <w:tcW w:w="2268" w:type="dxa"/>
            <w:shd w:val="clear" w:color="auto" w:fill="auto"/>
          </w:tcPr>
          <w:p w:rsidR="00D266F6" w:rsidRPr="00D266F6" w:rsidRDefault="00D266F6" w:rsidP="00B92AC6">
            <w:r w:rsidRPr="00D266F6">
              <w:t xml:space="preserve">Fax </w:t>
            </w:r>
            <w:r w:rsidRPr="001A1985">
              <w:rPr>
                <w:sz w:val="16"/>
              </w:rPr>
              <w:t>(commercial only)</w:t>
            </w:r>
          </w:p>
        </w:tc>
        <w:tc>
          <w:tcPr>
            <w:tcW w:w="3427" w:type="dxa"/>
            <w:shd w:val="clear" w:color="auto" w:fill="auto"/>
          </w:tcPr>
          <w:p w:rsidR="00D266F6" w:rsidRPr="00CC4633" w:rsidRDefault="00551EF9" w:rsidP="00B92AC6">
            <w:r w:rsidRPr="00CC4633">
              <w:t>(202) 707-4999</w:t>
            </w:r>
          </w:p>
        </w:tc>
        <w:tc>
          <w:tcPr>
            <w:tcW w:w="3881" w:type="dxa"/>
            <w:shd w:val="clear" w:color="auto" w:fill="FFFF00"/>
          </w:tcPr>
          <w:p w:rsidR="00D266F6" w:rsidRPr="008369CA" w:rsidRDefault="00D266F6" w:rsidP="00B92AC6"/>
        </w:tc>
      </w:tr>
      <w:tr w:rsidR="00D266F6" w:rsidTr="008369CA">
        <w:tc>
          <w:tcPr>
            <w:tcW w:w="2268" w:type="dxa"/>
            <w:shd w:val="clear" w:color="auto" w:fill="auto"/>
          </w:tcPr>
          <w:p w:rsidR="00D266F6" w:rsidRPr="00D266F6" w:rsidRDefault="00D266F6" w:rsidP="00B92AC6">
            <w:r w:rsidRPr="00D266F6">
              <w:t>Email</w:t>
            </w:r>
          </w:p>
        </w:tc>
        <w:tc>
          <w:tcPr>
            <w:tcW w:w="3427" w:type="dxa"/>
            <w:shd w:val="clear" w:color="auto" w:fill="auto"/>
          </w:tcPr>
          <w:p w:rsidR="00D266F6" w:rsidRPr="00CC4633" w:rsidRDefault="00551EF9" w:rsidP="00B92AC6">
            <w:r w:rsidRPr="00CC4633">
              <w:t>flicc</w:t>
            </w:r>
            <w:r w:rsidR="00E279C9" w:rsidRPr="00CC4633">
              <w:t xml:space="preserve">ffo@loc.gov </w:t>
            </w:r>
          </w:p>
        </w:tc>
        <w:tc>
          <w:tcPr>
            <w:tcW w:w="3881" w:type="dxa"/>
            <w:shd w:val="clear" w:color="auto" w:fill="FFFF00"/>
          </w:tcPr>
          <w:p w:rsidR="00D266F6" w:rsidRPr="008369CA" w:rsidRDefault="00D266F6" w:rsidP="00B92AC6"/>
        </w:tc>
      </w:tr>
      <w:tr w:rsidR="00D266F6" w:rsidTr="008369CA">
        <w:tc>
          <w:tcPr>
            <w:tcW w:w="2268" w:type="dxa"/>
            <w:shd w:val="clear" w:color="auto" w:fill="auto"/>
          </w:tcPr>
          <w:p w:rsidR="00D266F6" w:rsidRDefault="0067210E" w:rsidP="00B92AC6">
            <w:r>
              <w:t>Address</w:t>
            </w:r>
            <w:r w:rsidR="00521A87">
              <w:t xml:space="preserve"> </w:t>
            </w:r>
          </w:p>
          <w:p w:rsidR="00521A87" w:rsidRDefault="00521A87" w:rsidP="00B92AC6"/>
          <w:p w:rsidR="00521A87" w:rsidRDefault="00521A87" w:rsidP="00B92AC6"/>
          <w:p w:rsidR="00521A87" w:rsidRDefault="00521A87" w:rsidP="00B92AC6"/>
          <w:p w:rsidR="00521A87" w:rsidRPr="00D266F6" w:rsidRDefault="00521A87" w:rsidP="00B92AC6"/>
        </w:tc>
        <w:tc>
          <w:tcPr>
            <w:tcW w:w="3427" w:type="dxa"/>
            <w:shd w:val="clear" w:color="auto" w:fill="auto"/>
          </w:tcPr>
          <w:p w:rsidR="008C7ED8" w:rsidRDefault="008C7ED8" w:rsidP="00B92AC6">
            <w:r>
              <w:t>FEDLINK</w:t>
            </w:r>
          </w:p>
          <w:p w:rsidR="008C7ED8" w:rsidRDefault="008C7ED8" w:rsidP="00B92AC6">
            <w:r>
              <w:t>Library of Congress</w:t>
            </w:r>
          </w:p>
          <w:p w:rsidR="00D266F6" w:rsidRDefault="0067210E" w:rsidP="00B92AC6">
            <w:r>
              <w:t>101 Independence Ave., S.E.</w:t>
            </w:r>
          </w:p>
          <w:p w:rsidR="0067210E" w:rsidRDefault="0067210E" w:rsidP="00B92AC6">
            <w:r>
              <w:t>Washington, D.C.  20540</w:t>
            </w:r>
          </w:p>
          <w:p w:rsidR="0067210E" w:rsidRPr="00D266F6" w:rsidRDefault="0067210E" w:rsidP="00B92AC6"/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FFFF00"/>
          </w:tcPr>
          <w:p w:rsidR="00D266F6" w:rsidRPr="008369CA" w:rsidRDefault="00D266F6" w:rsidP="00B92AC6"/>
        </w:tc>
      </w:tr>
      <w:tr w:rsidR="00CA23A0" w:rsidTr="008369CA">
        <w:tc>
          <w:tcPr>
            <w:tcW w:w="2268" w:type="dxa"/>
            <w:shd w:val="clear" w:color="auto" w:fill="auto"/>
            <w:tcMar>
              <w:top w:w="115" w:type="dxa"/>
              <w:bottom w:w="115" w:type="dxa"/>
            </w:tcMar>
            <w:vAlign w:val="center"/>
          </w:tcPr>
          <w:p w:rsidR="00CA23A0" w:rsidRDefault="00CA23A0" w:rsidP="0036390C">
            <w:r>
              <w:t>Signature</w:t>
            </w:r>
          </w:p>
        </w:tc>
        <w:tc>
          <w:tcPr>
            <w:tcW w:w="3427" w:type="dxa"/>
            <w:shd w:val="clear" w:color="auto" w:fill="auto"/>
            <w:tcMar>
              <w:top w:w="115" w:type="dxa"/>
              <w:bottom w:w="115" w:type="dxa"/>
            </w:tcMar>
          </w:tcPr>
          <w:p w:rsidR="00CA23A0" w:rsidRDefault="00CA23A0" w:rsidP="0036390C"/>
        </w:tc>
        <w:tc>
          <w:tcPr>
            <w:tcW w:w="3881" w:type="dxa"/>
            <w:shd w:val="clear" w:color="auto" w:fill="FFFF00"/>
            <w:tcMar>
              <w:top w:w="115" w:type="dxa"/>
              <w:bottom w:w="115" w:type="dxa"/>
            </w:tcMar>
          </w:tcPr>
          <w:p w:rsidR="00CA23A0" w:rsidRPr="00D266F6" w:rsidRDefault="00CA23A0" w:rsidP="0036390C"/>
        </w:tc>
      </w:tr>
      <w:tr w:rsidR="00CA23A0" w:rsidTr="008369CA">
        <w:tc>
          <w:tcPr>
            <w:tcW w:w="2268" w:type="dxa"/>
            <w:shd w:val="clear" w:color="auto" w:fill="auto"/>
          </w:tcPr>
          <w:p w:rsidR="00CA23A0" w:rsidRDefault="00CA23A0" w:rsidP="0036390C">
            <w:r>
              <w:t>Date</w:t>
            </w:r>
          </w:p>
        </w:tc>
        <w:tc>
          <w:tcPr>
            <w:tcW w:w="3427" w:type="dxa"/>
            <w:shd w:val="clear" w:color="auto" w:fill="auto"/>
          </w:tcPr>
          <w:p w:rsidR="00CA23A0" w:rsidRDefault="00CA23A0" w:rsidP="0036390C"/>
        </w:tc>
        <w:tc>
          <w:tcPr>
            <w:tcW w:w="3881" w:type="dxa"/>
            <w:shd w:val="clear" w:color="auto" w:fill="FFFF00"/>
          </w:tcPr>
          <w:p w:rsidR="00CA23A0" w:rsidRPr="00D266F6" w:rsidRDefault="00CA23A0" w:rsidP="0036390C"/>
        </w:tc>
      </w:tr>
      <w:tr w:rsidR="00FE2600" w:rsidTr="001A1985">
        <w:tc>
          <w:tcPr>
            <w:tcW w:w="9576" w:type="dxa"/>
            <w:gridSpan w:val="3"/>
            <w:shd w:val="clear" w:color="auto" w:fill="auto"/>
          </w:tcPr>
          <w:p w:rsidR="00FE2600" w:rsidRPr="00CA23A0" w:rsidRDefault="00FE2600" w:rsidP="00B92AC6">
            <w:pPr>
              <w:rPr>
                <w:b/>
              </w:rPr>
            </w:pPr>
            <w:r w:rsidRPr="00CA23A0">
              <w:rPr>
                <w:b/>
              </w:rPr>
              <w:t>PROGRAM OFFICIALS</w:t>
            </w:r>
          </w:p>
        </w:tc>
      </w:tr>
      <w:tr w:rsidR="00D266F6" w:rsidTr="008369CA">
        <w:tc>
          <w:tcPr>
            <w:tcW w:w="2268" w:type="dxa"/>
            <w:shd w:val="clear" w:color="auto" w:fill="auto"/>
          </w:tcPr>
          <w:p w:rsidR="00D266F6" w:rsidRPr="00D266F6" w:rsidRDefault="00FE2600" w:rsidP="00B92AC6">
            <w:r>
              <w:t>Name</w:t>
            </w:r>
          </w:p>
        </w:tc>
        <w:tc>
          <w:tcPr>
            <w:tcW w:w="3427" w:type="dxa"/>
            <w:shd w:val="clear" w:color="auto" w:fill="auto"/>
          </w:tcPr>
          <w:p w:rsidR="00D266F6" w:rsidRPr="00CC4633" w:rsidRDefault="00551EF9" w:rsidP="00B92AC6">
            <w:r w:rsidRPr="00CC4633">
              <w:t>Lennel Galloway</w:t>
            </w:r>
          </w:p>
        </w:tc>
        <w:tc>
          <w:tcPr>
            <w:tcW w:w="3881" w:type="dxa"/>
            <w:shd w:val="clear" w:color="auto" w:fill="FFFF00"/>
          </w:tcPr>
          <w:p w:rsidR="00D266F6" w:rsidRPr="00D266F6" w:rsidRDefault="00D266F6" w:rsidP="00B92AC6"/>
        </w:tc>
      </w:tr>
      <w:tr w:rsidR="00FE2600" w:rsidTr="008369CA">
        <w:tc>
          <w:tcPr>
            <w:tcW w:w="2268" w:type="dxa"/>
            <w:shd w:val="clear" w:color="auto" w:fill="auto"/>
          </w:tcPr>
          <w:p w:rsidR="00FE2600" w:rsidRPr="00D266F6" w:rsidRDefault="00FE2600" w:rsidP="001A1985">
            <w:r w:rsidRPr="00D266F6">
              <w:t>Title</w:t>
            </w:r>
          </w:p>
        </w:tc>
        <w:tc>
          <w:tcPr>
            <w:tcW w:w="3427" w:type="dxa"/>
            <w:shd w:val="clear" w:color="auto" w:fill="auto"/>
          </w:tcPr>
          <w:p w:rsidR="00FE2600" w:rsidRPr="00CC4633" w:rsidRDefault="008C7ED8" w:rsidP="00551EF9">
            <w:r w:rsidRPr="00CC4633">
              <w:t xml:space="preserve">FEDLINK </w:t>
            </w:r>
            <w:r w:rsidR="00551EF9" w:rsidRPr="00CC4633">
              <w:t>Business Manager</w:t>
            </w:r>
          </w:p>
        </w:tc>
        <w:tc>
          <w:tcPr>
            <w:tcW w:w="3881" w:type="dxa"/>
            <w:shd w:val="clear" w:color="auto" w:fill="FFFF00"/>
          </w:tcPr>
          <w:p w:rsidR="00FE2600" w:rsidRPr="00D266F6" w:rsidRDefault="00FE2600" w:rsidP="00B92AC6"/>
        </w:tc>
      </w:tr>
      <w:tr w:rsidR="00FE2600" w:rsidTr="008369CA">
        <w:tc>
          <w:tcPr>
            <w:tcW w:w="2268" w:type="dxa"/>
            <w:shd w:val="clear" w:color="auto" w:fill="auto"/>
          </w:tcPr>
          <w:p w:rsidR="00FE2600" w:rsidRPr="00D266F6" w:rsidRDefault="00FE2600" w:rsidP="001A1985">
            <w:r w:rsidRPr="00D266F6">
              <w:t xml:space="preserve">Phone </w:t>
            </w:r>
            <w:r w:rsidRPr="001A1985">
              <w:rPr>
                <w:sz w:val="16"/>
              </w:rPr>
              <w:t>(commercial only)</w:t>
            </w:r>
          </w:p>
        </w:tc>
        <w:tc>
          <w:tcPr>
            <w:tcW w:w="3427" w:type="dxa"/>
            <w:shd w:val="clear" w:color="auto" w:fill="auto"/>
          </w:tcPr>
          <w:p w:rsidR="00FE2600" w:rsidRPr="00CC4633" w:rsidRDefault="008C7ED8" w:rsidP="00551EF9">
            <w:r w:rsidRPr="00CC4633">
              <w:t>(202) 707-</w:t>
            </w:r>
            <w:r w:rsidR="00551EF9" w:rsidRPr="00CC4633">
              <w:t>4900</w:t>
            </w:r>
          </w:p>
        </w:tc>
        <w:tc>
          <w:tcPr>
            <w:tcW w:w="3881" w:type="dxa"/>
            <w:shd w:val="clear" w:color="auto" w:fill="FFFF00"/>
          </w:tcPr>
          <w:p w:rsidR="00FE2600" w:rsidRPr="00D266F6" w:rsidRDefault="00FE2600" w:rsidP="00B92AC6"/>
        </w:tc>
      </w:tr>
      <w:tr w:rsidR="00FE2600" w:rsidTr="008369CA">
        <w:tc>
          <w:tcPr>
            <w:tcW w:w="2268" w:type="dxa"/>
            <w:shd w:val="clear" w:color="auto" w:fill="auto"/>
          </w:tcPr>
          <w:p w:rsidR="00FE2600" w:rsidRPr="00D266F6" w:rsidRDefault="00FE2600" w:rsidP="001A1985">
            <w:r w:rsidRPr="00D266F6">
              <w:t xml:space="preserve">Fax </w:t>
            </w:r>
            <w:r w:rsidRPr="001A1985">
              <w:rPr>
                <w:sz w:val="16"/>
              </w:rPr>
              <w:t>(commercial only)</w:t>
            </w:r>
          </w:p>
        </w:tc>
        <w:tc>
          <w:tcPr>
            <w:tcW w:w="3427" w:type="dxa"/>
            <w:shd w:val="clear" w:color="auto" w:fill="auto"/>
          </w:tcPr>
          <w:p w:rsidR="00FE2600" w:rsidRPr="00CC4633" w:rsidRDefault="00551EF9" w:rsidP="00B92AC6">
            <w:r w:rsidRPr="00CC4633">
              <w:t>(202) 707-4999</w:t>
            </w:r>
          </w:p>
        </w:tc>
        <w:tc>
          <w:tcPr>
            <w:tcW w:w="3881" w:type="dxa"/>
            <w:shd w:val="clear" w:color="auto" w:fill="FFFF00"/>
          </w:tcPr>
          <w:p w:rsidR="00FE2600" w:rsidRPr="00D266F6" w:rsidRDefault="00FE2600" w:rsidP="00B92AC6"/>
        </w:tc>
      </w:tr>
      <w:tr w:rsidR="00FE2600" w:rsidTr="008369CA">
        <w:tc>
          <w:tcPr>
            <w:tcW w:w="2268" w:type="dxa"/>
            <w:shd w:val="clear" w:color="auto" w:fill="auto"/>
          </w:tcPr>
          <w:p w:rsidR="00FE2600" w:rsidRPr="00D266F6" w:rsidRDefault="00FE2600" w:rsidP="001A1985">
            <w:r w:rsidRPr="00D266F6">
              <w:t>Email</w:t>
            </w:r>
          </w:p>
        </w:tc>
        <w:tc>
          <w:tcPr>
            <w:tcW w:w="3427" w:type="dxa"/>
            <w:shd w:val="clear" w:color="auto" w:fill="auto"/>
          </w:tcPr>
          <w:p w:rsidR="00FE2600" w:rsidRPr="00CC4633" w:rsidRDefault="00551EF9" w:rsidP="00B92AC6">
            <w:r w:rsidRPr="00CC4633">
              <w:t>fliccffo</w:t>
            </w:r>
            <w:r w:rsidR="00397C0E" w:rsidRPr="00CC4633">
              <w:t xml:space="preserve">@loc.gov </w:t>
            </w:r>
          </w:p>
        </w:tc>
        <w:tc>
          <w:tcPr>
            <w:tcW w:w="3881" w:type="dxa"/>
            <w:shd w:val="clear" w:color="auto" w:fill="FFFF00"/>
          </w:tcPr>
          <w:p w:rsidR="00FE2600" w:rsidRPr="00D266F6" w:rsidRDefault="00FE2600" w:rsidP="00B92AC6"/>
        </w:tc>
      </w:tr>
      <w:tr w:rsidR="00FE2600" w:rsidTr="008369CA">
        <w:tc>
          <w:tcPr>
            <w:tcW w:w="2268" w:type="dxa"/>
            <w:shd w:val="clear" w:color="auto" w:fill="auto"/>
          </w:tcPr>
          <w:p w:rsidR="00FE2600" w:rsidRDefault="00FE2600" w:rsidP="001A1985">
            <w:r>
              <w:t xml:space="preserve">Address </w:t>
            </w:r>
          </w:p>
          <w:p w:rsidR="00FE2600" w:rsidRPr="00D266F6" w:rsidRDefault="00FE2600" w:rsidP="001A1985"/>
        </w:tc>
        <w:tc>
          <w:tcPr>
            <w:tcW w:w="3427" w:type="dxa"/>
            <w:shd w:val="clear" w:color="auto" w:fill="auto"/>
          </w:tcPr>
          <w:p w:rsidR="008C7ED8" w:rsidRDefault="008C7ED8" w:rsidP="008C7ED8">
            <w:r>
              <w:t>FEDLINK</w:t>
            </w:r>
          </w:p>
          <w:p w:rsidR="008C7ED8" w:rsidRDefault="008C7ED8" w:rsidP="008C7ED8">
            <w:r>
              <w:t>Library of Congress</w:t>
            </w:r>
          </w:p>
          <w:p w:rsidR="008C7ED8" w:rsidRDefault="008C7ED8" w:rsidP="008C7ED8">
            <w:r>
              <w:t>101 Independence Ave., S.E.</w:t>
            </w:r>
          </w:p>
          <w:p w:rsidR="00FE2600" w:rsidRPr="00D266F6" w:rsidRDefault="008C7ED8" w:rsidP="00CA23A0">
            <w:r>
              <w:t>Washington, D.C.  20540</w:t>
            </w:r>
            <w:r w:rsidR="00CA23A0">
              <w:t xml:space="preserve"> </w:t>
            </w:r>
          </w:p>
        </w:tc>
        <w:tc>
          <w:tcPr>
            <w:tcW w:w="3881" w:type="dxa"/>
            <w:shd w:val="clear" w:color="auto" w:fill="FFFF00"/>
          </w:tcPr>
          <w:p w:rsidR="00FE2600" w:rsidRPr="00D266F6" w:rsidRDefault="00FE2600" w:rsidP="00B92AC6"/>
        </w:tc>
      </w:tr>
    </w:tbl>
    <w:p w:rsidR="00E279C9" w:rsidRPr="002C62F8" w:rsidRDefault="00E279C9" w:rsidP="00B92AC6">
      <w:bookmarkStart w:id="1" w:name="_GoBack"/>
      <w:bookmarkEnd w:id="1"/>
    </w:p>
    <w:sectPr w:rsidR="00E279C9" w:rsidRPr="002C62F8" w:rsidSect="000B29D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DC" w:rsidRDefault="00AD71DC" w:rsidP="00551EF9">
      <w:r>
        <w:separator/>
      </w:r>
    </w:p>
  </w:endnote>
  <w:endnote w:type="continuationSeparator" w:id="0">
    <w:p w:rsidR="00AD71DC" w:rsidRDefault="00AD71DC" w:rsidP="0055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DC" w:rsidRDefault="00AD71DC" w:rsidP="00551EF9">
      <w:r>
        <w:separator/>
      </w:r>
    </w:p>
  </w:footnote>
  <w:footnote w:type="continuationSeparator" w:id="0">
    <w:p w:rsidR="00AD71DC" w:rsidRDefault="00AD71DC" w:rsidP="0055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811"/>
    <w:multiLevelType w:val="multilevel"/>
    <w:tmpl w:val="1CCAE0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106A1"/>
    <w:multiLevelType w:val="multilevel"/>
    <w:tmpl w:val="1CCAE0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F021B"/>
    <w:multiLevelType w:val="multilevel"/>
    <w:tmpl w:val="1CCAE0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32FE6"/>
    <w:multiLevelType w:val="hybridMultilevel"/>
    <w:tmpl w:val="970049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56616A"/>
    <w:multiLevelType w:val="hybridMultilevel"/>
    <w:tmpl w:val="D1F0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C139F"/>
    <w:multiLevelType w:val="multilevel"/>
    <w:tmpl w:val="1CCAE0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E000D"/>
    <w:multiLevelType w:val="hybridMultilevel"/>
    <w:tmpl w:val="656A193E"/>
    <w:lvl w:ilvl="0" w:tplc="1F52D4E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3320AF"/>
    <w:multiLevelType w:val="multilevel"/>
    <w:tmpl w:val="1CCAE0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007B8"/>
    <w:multiLevelType w:val="multilevel"/>
    <w:tmpl w:val="1CCAE0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9A"/>
    <w:rsid w:val="000009D5"/>
    <w:rsid w:val="000218AB"/>
    <w:rsid w:val="00030C49"/>
    <w:rsid w:val="00032517"/>
    <w:rsid w:val="00051C43"/>
    <w:rsid w:val="00052EDF"/>
    <w:rsid w:val="00053714"/>
    <w:rsid w:val="00054AA8"/>
    <w:rsid w:val="00075D50"/>
    <w:rsid w:val="00076CCA"/>
    <w:rsid w:val="000831D1"/>
    <w:rsid w:val="00092EEA"/>
    <w:rsid w:val="000A0331"/>
    <w:rsid w:val="000A5E81"/>
    <w:rsid w:val="000B29DE"/>
    <w:rsid w:val="000B5592"/>
    <w:rsid w:val="000D3AAF"/>
    <w:rsid w:val="000D720D"/>
    <w:rsid w:val="000E72C6"/>
    <w:rsid w:val="00102B0A"/>
    <w:rsid w:val="00105FB0"/>
    <w:rsid w:val="001065A0"/>
    <w:rsid w:val="00110D7D"/>
    <w:rsid w:val="00131F3F"/>
    <w:rsid w:val="00134A99"/>
    <w:rsid w:val="00140A7A"/>
    <w:rsid w:val="00143116"/>
    <w:rsid w:val="00143B27"/>
    <w:rsid w:val="001447EF"/>
    <w:rsid w:val="00161152"/>
    <w:rsid w:val="00162A78"/>
    <w:rsid w:val="0017458E"/>
    <w:rsid w:val="001754B8"/>
    <w:rsid w:val="00181605"/>
    <w:rsid w:val="001A1985"/>
    <w:rsid w:val="001A77B4"/>
    <w:rsid w:val="001B08DB"/>
    <w:rsid w:val="001B671E"/>
    <w:rsid w:val="001C6025"/>
    <w:rsid w:val="001D0CF9"/>
    <w:rsid w:val="001D2AD2"/>
    <w:rsid w:val="001D4CA6"/>
    <w:rsid w:val="001E1E8F"/>
    <w:rsid w:val="001E389D"/>
    <w:rsid w:val="001E7F48"/>
    <w:rsid w:val="001F1047"/>
    <w:rsid w:val="001F2059"/>
    <w:rsid w:val="002004C9"/>
    <w:rsid w:val="00203149"/>
    <w:rsid w:val="00210406"/>
    <w:rsid w:val="0022766D"/>
    <w:rsid w:val="00230BD6"/>
    <w:rsid w:val="002419E3"/>
    <w:rsid w:val="00244CC7"/>
    <w:rsid w:val="00260C72"/>
    <w:rsid w:val="002633B3"/>
    <w:rsid w:val="00265294"/>
    <w:rsid w:val="00272815"/>
    <w:rsid w:val="00282CE5"/>
    <w:rsid w:val="00285F96"/>
    <w:rsid w:val="00297DAD"/>
    <w:rsid w:val="002A20DC"/>
    <w:rsid w:val="002A47BE"/>
    <w:rsid w:val="002B25B7"/>
    <w:rsid w:val="002C0122"/>
    <w:rsid w:val="002C62F8"/>
    <w:rsid w:val="002E1423"/>
    <w:rsid w:val="002E2D1F"/>
    <w:rsid w:val="002E3F62"/>
    <w:rsid w:val="002E791E"/>
    <w:rsid w:val="003061EE"/>
    <w:rsid w:val="00320348"/>
    <w:rsid w:val="003205F6"/>
    <w:rsid w:val="00321335"/>
    <w:rsid w:val="00333B02"/>
    <w:rsid w:val="00335866"/>
    <w:rsid w:val="00352032"/>
    <w:rsid w:val="00361717"/>
    <w:rsid w:val="00361F6D"/>
    <w:rsid w:val="0036390C"/>
    <w:rsid w:val="00377825"/>
    <w:rsid w:val="0038185D"/>
    <w:rsid w:val="0038271B"/>
    <w:rsid w:val="003878E1"/>
    <w:rsid w:val="00397C0E"/>
    <w:rsid w:val="003A0E5B"/>
    <w:rsid w:val="003C43A8"/>
    <w:rsid w:val="003C7CEE"/>
    <w:rsid w:val="003D1A03"/>
    <w:rsid w:val="003D7761"/>
    <w:rsid w:val="003E0C2F"/>
    <w:rsid w:val="003F23E7"/>
    <w:rsid w:val="003F6EA9"/>
    <w:rsid w:val="00410B2C"/>
    <w:rsid w:val="00416650"/>
    <w:rsid w:val="004205AD"/>
    <w:rsid w:val="0042264A"/>
    <w:rsid w:val="00424D03"/>
    <w:rsid w:val="00424D67"/>
    <w:rsid w:val="00425AB3"/>
    <w:rsid w:val="00431762"/>
    <w:rsid w:val="00433455"/>
    <w:rsid w:val="00435E20"/>
    <w:rsid w:val="00437504"/>
    <w:rsid w:val="00461E23"/>
    <w:rsid w:val="004678CF"/>
    <w:rsid w:val="00476CE3"/>
    <w:rsid w:val="004852DE"/>
    <w:rsid w:val="004925A2"/>
    <w:rsid w:val="004A5B6C"/>
    <w:rsid w:val="004B05E7"/>
    <w:rsid w:val="004C4830"/>
    <w:rsid w:val="004D30E9"/>
    <w:rsid w:val="00506114"/>
    <w:rsid w:val="00513A15"/>
    <w:rsid w:val="00521A87"/>
    <w:rsid w:val="00536381"/>
    <w:rsid w:val="00551EF9"/>
    <w:rsid w:val="00554D75"/>
    <w:rsid w:val="00564D9A"/>
    <w:rsid w:val="00566279"/>
    <w:rsid w:val="005806A1"/>
    <w:rsid w:val="00580747"/>
    <w:rsid w:val="00584C3B"/>
    <w:rsid w:val="00584F8D"/>
    <w:rsid w:val="00585470"/>
    <w:rsid w:val="00590430"/>
    <w:rsid w:val="005938EC"/>
    <w:rsid w:val="005B54DD"/>
    <w:rsid w:val="005C3B8C"/>
    <w:rsid w:val="005C4DF6"/>
    <w:rsid w:val="005D46BD"/>
    <w:rsid w:val="005D6758"/>
    <w:rsid w:val="005D70AF"/>
    <w:rsid w:val="005E4828"/>
    <w:rsid w:val="005E732D"/>
    <w:rsid w:val="005F304E"/>
    <w:rsid w:val="006073A7"/>
    <w:rsid w:val="00617D8B"/>
    <w:rsid w:val="0064134F"/>
    <w:rsid w:val="006538A5"/>
    <w:rsid w:val="0065662D"/>
    <w:rsid w:val="0067210E"/>
    <w:rsid w:val="00675466"/>
    <w:rsid w:val="006800A8"/>
    <w:rsid w:val="0069634D"/>
    <w:rsid w:val="006E14F4"/>
    <w:rsid w:val="006E55D5"/>
    <w:rsid w:val="006F04CC"/>
    <w:rsid w:val="006F2DF9"/>
    <w:rsid w:val="007214D3"/>
    <w:rsid w:val="007356F9"/>
    <w:rsid w:val="0075065F"/>
    <w:rsid w:val="00772891"/>
    <w:rsid w:val="00773B15"/>
    <w:rsid w:val="007846A1"/>
    <w:rsid w:val="00792621"/>
    <w:rsid w:val="0079396E"/>
    <w:rsid w:val="00795315"/>
    <w:rsid w:val="007B1881"/>
    <w:rsid w:val="007C09ED"/>
    <w:rsid w:val="007D0B7C"/>
    <w:rsid w:val="007D1CEC"/>
    <w:rsid w:val="007F030F"/>
    <w:rsid w:val="007F53C0"/>
    <w:rsid w:val="007F633C"/>
    <w:rsid w:val="0081306C"/>
    <w:rsid w:val="00815DE0"/>
    <w:rsid w:val="0082033A"/>
    <w:rsid w:val="008207C7"/>
    <w:rsid w:val="00826FDC"/>
    <w:rsid w:val="008369CA"/>
    <w:rsid w:val="008424C9"/>
    <w:rsid w:val="00853913"/>
    <w:rsid w:val="00874B98"/>
    <w:rsid w:val="00877DF2"/>
    <w:rsid w:val="00892622"/>
    <w:rsid w:val="00895213"/>
    <w:rsid w:val="008A2911"/>
    <w:rsid w:val="008C7ED8"/>
    <w:rsid w:val="008D320C"/>
    <w:rsid w:val="008F4B11"/>
    <w:rsid w:val="00906FA0"/>
    <w:rsid w:val="0091443C"/>
    <w:rsid w:val="00930FED"/>
    <w:rsid w:val="009315B9"/>
    <w:rsid w:val="00935C75"/>
    <w:rsid w:val="00943CB7"/>
    <w:rsid w:val="0094546D"/>
    <w:rsid w:val="009455E8"/>
    <w:rsid w:val="00945AF0"/>
    <w:rsid w:val="009515FD"/>
    <w:rsid w:val="00960DB3"/>
    <w:rsid w:val="0097594F"/>
    <w:rsid w:val="00975FE1"/>
    <w:rsid w:val="00977B2F"/>
    <w:rsid w:val="009879E1"/>
    <w:rsid w:val="00996616"/>
    <w:rsid w:val="00997330"/>
    <w:rsid w:val="009A00E5"/>
    <w:rsid w:val="009A5A20"/>
    <w:rsid w:val="009A691D"/>
    <w:rsid w:val="009B0E88"/>
    <w:rsid w:val="00A00BA1"/>
    <w:rsid w:val="00A01813"/>
    <w:rsid w:val="00A04F03"/>
    <w:rsid w:val="00A17B79"/>
    <w:rsid w:val="00A23540"/>
    <w:rsid w:val="00A268F7"/>
    <w:rsid w:val="00A356D3"/>
    <w:rsid w:val="00A42693"/>
    <w:rsid w:val="00A67163"/>
    <w:rsid w:val="00A747E5"/>
    <w:rsid w:val="00A80184"/>
    <w:rsid w:val="00A81755"/>
    <w:rsid w:val="00A862F2"/>
    <w:rsid w:val="00A90580"/>
    <w:rsid w:val="00AA369A"/>
    <w:rsid w:val="00AA6B45"/>
    <w:rsid w:val="00AB23CF"/>
    <w:rsid w:val="00AC4681"/>
    <w:rsid w:val="00AD62E0"/>
    <w:rsid w:val="00AD71DC"/>
    <w:rsid w:val="00AD739E"/>
    <w:rsid w:val="00AE144B"/>
    <w:rsid w:val="00AE2F68"/>
    <w:rsid w:val="00AE4C27"/>
    <w:rsid w:val="00AF108F"/>
    <w:rsid w:val="00AF22C9"/>
    <w:rsid w:val="00AF31DC"/>
    <w:rsid w:val="00AF434B"/>
    <w:rsid w:val="00AF569C"/>
    <w:rsid w:val="00B004D8"/>
    <w:rsid w:val="00B07890"/>
    <w:rsid w:val="00B138BB"/>
    <w:rsid w:val="00B1782C"/>
    <w:rsid w:val="00B2544D"/>
    <w:rsid w:val="00B279DB"/>
    <w:rsid w:val="00B32981"/>
    <w:rsid w:val="00B43BA9"/>
    <w:rsid w:val="00B4507D"/>
    <w:rsid w:val="00B47E6E"/>
    <w:rsid w:val="00B5592E"/>
    <w:rsid w:val="00B56614"/>
    <w:rsid w:val="00B66B02"/>
    <w:rsid w:val="00B76E26"/>
    <w:rsid w:val="00B806A2"/>
    <w:rsid w:val="00B84579"/>
    <w:rsid w:val="00B92AC6"/>
    <w:rsid w:val="00BA14D3"/>
    <w:rsid w:val="00BB2D61"/>
    <w:rsid w:val="00BC00EB"/>
    <w:rsid w:val="00BD24E3"/>
    <w:rsid w:val="00BD4B22"/>
    <w:rsid w:val="00BF2614"/>
    <w:rsid w:val="00BF53B3"/>
    <w:rsid w:val="00C0230B"/>
    <w:rsid w:val="00C13CA3"/>
    <w:rsid w:val="00C20A45"/>
    <w:rsid w:val="00C22651"/>
    <w:rsid w:val="00C406F4"/>
    <w:rsid w:val="00C5046C"/>
    <w:rsid w:val="00C579B3"/>
    <w:rsid w:val="00C61E16"/>
    <w:rsid w:val="00C62D47"/>
    <w:rsid w:val="00C72565"/>
    <w:rsid w:val="00C72931"/>
    <w:rsid w:val="00C75452"/>
    <w:rsid w:val="00C946EA"/>
    <w:rsid w:val="00C94B13"/>
    <w:rsid w:val="00CA23A0"/>
    <w:rsid w:val="00CA2542"/>
    <w:rsid w:val="00CB1F8A"/>
    <w:rsid w:val="00CB4004"/>
    <w:rsid w:val="00CC4633"/>
    <w:rsid w:val="00CC7738"/>
    <w:rsid w:val="00CD4405"/>
    <w:rsid w:val="00CD5E70"/>
    <w:rsid w:val="00CF34EF"/>
    <w:rsid w:val="00CF4791"/>
    <w:rsid w:val="00CF4D8A"/>
    <w:rsid w:val="00CF7E1E"/>
    <w:rsid w:val="00D01DCA"/>
    <w:rsid w:val="00D02340"/>
    <w:rsid w:val="00D266F6"/>
    <w:rsid w:val="00D3307F"/>
    <w:rsid w:val="00D57F19"/>
    <w:rsid w:val="00D60F1B"/>
    <w:rsid w:val="00D71566"/>
    <w:rsid w:val="00D92CCD"/>
    <w:rsid w:val="00DA254F"/>
    <w:rsid w:val="00DB6B26"/>
    <w:rsid w:val="00DB6B43"/>
    <w:rsid w:val="00DC2199"/>
    <w:rsid w:val="00DD39A5"/>
    <w:rsid w:val="00DE3252"/>
    <w:rsid w:val="00DE3BED"/>
    <w:rsid w:val="00DF399D"/>
    <w:rsid w:val="00DF665A"/>
    <w:rsid w:val="00E0066B"/>
    <w:rsid w:val="00E01518"/>
    <w:rsid w:val="00E03FCC"/>
    <w:rsid w:val="00E04F75"/>
    <w:rsid w:val="00E04FD7"/>
    <w:rsid w:val="00E07E95"/>
    <w:rsid w:val="00E14AE2"/>
    <w:rsid w:val="00E14B5E"/>
    <w:rsid w:val="00E207E1"/>
    <w:rsid w:val="00E208A9"/>
    <w:rsid w:val="00E279C9"/>
    <w:rsid w:val="00E50B36"/>
    <w:rsid w:val="00E548E8"/>
    <w:rsid w:val="00E61C9C"/>
    <w:rsid w:val="00E62B86"/>
    <w:rsid w:val="00E71387"/>
    <w:rsid w:val="00E74634"/>
    <w:rsid w:val="00E76A93"/>
    <w:rsid w:val="00E80496"/>
    <w:rsid w:val="00E82341"/>
    <w:rsid w:val="00EC0E80"/>
    <w:rsid w:val="00EC7438"/>
    <w:rsid w:val="00ED1CB8"/>
    <w:rsid w:val="00EF0D44"/>
    <w:rsid w:val="00F0548B"/>
    <w:rsid w:val="00F21A16"/>
    <w:rsid w:val="00F26234"/>
    <w:rsid w:val="00F27F9C"/>
    <w:rsid w:val="00F32C83"/>
    <w:rsid w:val="00F40ED2"/>
    <w:rsid w:val="00F45B6C"/>
    <w:rsid w:val="00F55510"/>
    <w:rsid w:val="00F6166B"/>
    <w:rsid w:val="00F8065E"/>
    <w:rsid w:val="00F812A2"/>
    <w:rsid w:val="00F83233"/>
    <w:rsid w:val="00F83F87"/>
    <w:rsid w:val="00F84803"/>
    <w:rsid w:val="00F867BF"/>
    <w:rsid w:val="00F93E95"/>
    <w:rsid w:val="00FA2E4D"/>
    <w:rsid w:val="00FA5D50"/>
    <w:rsid w:val="00FD1E27"/>
    <w:rsid w:val="00FD6CAB"/>
    <w:rsid w:val="00FE1384"/>
    <w:rsid w:val="00FE2600"/>
    <w:rsid w:val="00FE2AF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te Level 1" w:semiHidden="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AC6"/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F1047"/>
    <w:pPr>
      <w:keepNext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564D9A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564D9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64D9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C579B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B23CF"/>
    <w:rPr>
      <w:sz w:val="16"/>
      <w:szCs w:val="16"/>
    </w:rPr>
  </w:style>
  <w:style w:type="paragraph" w:styleId="CommentText">
    <w:name w:val="annotation text"/>
    <w:basedOn w:val="Normal"/>
    <w:semiHidden/>
    <w:rsid w:val="00AB23C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B23CF"/>
    <w:rPr>
      <w:b/>
      <w:bCs/>
    </w:rPr>
  </w:style>
  <w:style w:type="paragraph" w:styleId="Revision">
    <w:name w:val="Revision"/>
    <w:hidden/>
    <w:uiPriority w:val="99"/>
    <w:semiHidden/>
    <w:rsid w:val="00CA2542"/>
    <w:rPr>
      <w:sz w:val="24"/>
      <w:szCs w:val="24"/>
      <w:lang w:eastAsia="zh-CN"/>
    </w:rPr>
  </w:style>
  <w:style w:type="paragraph" w:customStyle="1" w:styleId="pbody">
    <w:name w:val="pbody"/>
    <w:basedOn w:val="Normal"/>
    <w:rsid w:val="0037782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rsid w:val="001F1047"/>
    <w:rPr>
      <w:b/>
      <w:bCs/>
    </w:rPr>
  </w:style>
  <w:style w:type="character" w:customStyle="1" w:styleId="Heading1Char">
    <w:name w:val="Heading 1 Char"/>
    <w:link w:val="Heading1"/>
    <w:rsid w:val="001F1047"/>
    <w:rPr>
      <w:rFonts w:eastAsia="Times New Roman"/>
      <w:b/>
      <w:bCs/>
      <w:kern w:val="32"/>
      <w:sz w:val="24"/>
      <w:szCs w:val="32"/>
      <w:lang w:eastAsia="zh-CN"/>
    </w:rPr>
  </w:style>
  <w:style w:type="table" w:styleId="TableGrid">
    <w:name w:val="Table Grid"/>
    <w:basedOn w:val="TableNormal"/>
    <w:rsid w:val="0007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1E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1EF9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551E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1EF9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te Level 1" w:semiHidden="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AC6"/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F1047"/>
    <w:pPr>
      <w:keepNext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564D9A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564D9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64D9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C579B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B23CF"/>
    <w:rPr>
      <w:sz w:val="16"/>
      <w:szCs w:val="16"/>
    </w:rPr>
  </w:style>
  <w:style w:type="paragraph" w:styleId="CommentText">
    <w:name w:val="annotation text"/>
    <w:basedOn w:val="Normal"/>
    <w:semiHidden/>
    <w:rsid w:val="00AB23CF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B23CF"/>
    <w:rPr>
      <w:b/>
      <w:bCs/>
    </w:rPr>
  </w:style>
  <w:style w:type="paragraph" w:styleId="Revision">
    <w:name w:val="Revision"/>
    <w:hidden/>
    <w:uiPriority w:val="99"/>
    <w:semiHidden/>
    <w:rsid w:val="00CA2542"/>
    <w:rPr>
      <w:sz w:val="24"/>
      <w:szCs w:val="24"/>
      <w:lang w:eastAsia="zh-CN"/>
    </w:rPr>
  </w:style>
  <w:style w:type="paragraph" w:customStyle="1" w:styleId="pbody">
    <w:name w:val="pbody"/>
    <w:basedOn w:val="Normal"/>
    <w:rsid w:val="0037782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rsid w:val="001F1047"/>
    <w:rPr>
      <w:b/>
      <w:bCs/>
    </w:rPr>
  </w:style>
  <w:style w:type="character" w:customStyle="1" w:styleId="Heading1Char">
    <w:name w:val="Heading 1 Char"/>
    <w:link w:val="Heading1"/>
    <w:rsid w:val="001F1047"/>
    <w:rPr>
      <w:rFonts w:eastAsia="Times New Roman"/>
      <w:b/>
      <w:bCs/>
      <w:kern w:val="32"/>
      <w:sz w:val="24"/>
      <w:szCs w:val="32"/>
      <w:lang w:eastAsia="zh-CN"/>
    </w:rPr>
  </w:style>
  <w:style w:type="table" w:styleId="TableGrid">
    <w:name w:val="Table Grid"/>
    <w:basedOn w:val="TableNormal"/>
    <w:rsid w:val="0007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1E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1EF9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551E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1EF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9828-7799-B842-9DCE-A97AD881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1210</Words>
  <Characters>6902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of Congress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Lennel Galloway</dc:creator>
  <cp:keywords/>
  <cp:lastModifiedBy>Marlena Jones</cp:lastModifiedBy>
  <cp:revision>2</cp:revision>
  <cp:lastPrinted>2015-08-21T15:02:00Z</cp:lastPrinted>
  <dcterms:created xsi:type="dcterms:W3CDTF">2016-11-23T13:59:00Z</dcterms:created>
  <dcterms:modified xsi:type="dcterms:W3CDTF">2016-11-23T13:59:00Z</dcterms:modified>
</cp:coreProperties>
</file>